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196850</wp:posOffset>
            </wp:positionH>
            <wp:positionV relativeFrom="page">
              <wp:posOffset>146050</wp:posOffset>
            </wp:positionV>
            <wp:extent cx="715518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28575"/>
                    </a:xfrm>
                    <a:prstGeom prst="rect">
                      <a:avLst/>
                    </a:prstGeom>
                    <a:noFill/>
                  </pic:spPr>
                </pic:pic>
              </a:graphicData>
            </a:graphic>
          </wp:anchor>
        </w:drawing>
        <w:drawing>
          <wp:anchor simplePos="0" relativeHeight="251657728" behindDoc="1" locked="0" layoutInCell="0" allowOverlap="1">
            <wp:simplePos x="0" y="0"/>
            <wp:positionH relativeFrom="page">
              <wp:posOffset>196850</wp:posOffset>
            </wp:positionH>
            <wp:positionV relativeFrom="page">
              <wp:posOffset>246380</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t>UNITED STATES</w:t>
      </w:r>
    </w:p>
    <w:p>
      <w:pPr>
        <w:spacing w:after="0" w:line="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FORM 6-K</w:t>
      </w:r>
    </w:p>
    <w:p>
      <w:pPr>
        <w:spacing w:after="0" w:line="19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Pursuant to Rule 13a-16 or 15d-16</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7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For the month of May 2026</w:t>
      </w:r>
    </w:p>
    <w:p>
      <w:pPr>
        <w:spacing w:after="0" w:line="1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Commission File Number: 001-39777</w:t>
      </w:r>
    </w:p>
    <w:p>
      <w:pPr>
        <w:spacing w:after="0" w:line="16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36"/>
          <w:szCs w:val="36"/>
          <w:b w:val="1"/>
          <w:bCs w:val="1"/>
          <w:color w:val="auto"/>
        </w:rPr>
        <w:t>NANOBIOTIX S.A.</w:t>
      </w:r>
    </w:p>
    <w:p>
      <w:pPr>
        <w:spacing w:after="0" w:line="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(Translation of registrant's name into English)</w:t>
      </w:r>
    </w:p>
    <w:p>
      <w:pPr>
        <w:spacing w:after="0" w:line="1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60 Rue de Wattignies</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75012 Paris, France</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54" w:lineRule="exact"/>
        <w:rPr>
          <w:sz w:val="24"/>
          <w:szCs w:val="24"/>
          <w:color w:val="auto"/>
        </w:rPr>
      </w:pPr>
    </w:p>
    <w:p>
      <w:pPr>
        <w:ind w:left="4780"/>
        <w:spacing w:after="0" w:line="173" w:lineRule="exact"/>
        <w:rPr>
          <w:sz w:val="20"/>
          <w:szCs w:val="20"/>
          <w:color w:val="auto"/>
        </w:rPr>
      </w:pPr>
      <w:r>
        <w:rPr>
          <w:rFonts w:ascii="Times New Roman" w:cs="Times New Roman" w:eastAsia="Times New Roman" w:hAnsi="Times New Roman"/>
          <w:sz w:val="15"/>
          <w:szCs w:val="15"/>
          <w:color w:val="auto"/>
        </w:rPr>
        <w:t xml:space="preserve">Form 20-F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71551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156845</wp:posOffset>
            </wp:positionV>
            <wp:extent cx="7155180" cy="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285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285750</wp:posOffset>
            </wp:positionV>
            <wp:extent cx="715518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139"/>
          </w:cols>
          <w:pgMar w:left="320" w:top="453" w:right="1440" w:bottom="1440" w:gutter="0" w:footer="0" w:header="0"/>
        </w:sectPr>
      </w:pPr>
    </w:p>
    <w:bookmarkStart w:id="1" w:name="page2"/>
    <w:bookmarkEnd w:id="1"/>
    <w:p>
      <w:pPr>
        <w:ind w:right="60"/>
        <w:spacing w:after="0" w:line="280" w:lineRule="auto"/>
        <w:rPr>
          <w:sz w:val="20"/>
          <w:szCs w:val="20"/>
          <w:color w:val="auto"/>
        </w:rPr>
      </w:pPr>
      <w:r>
        <w:rPr>
          <w:rFonts w:ascii="Times New Roman" w:cs="Times New Roman" w:eastAsia="Times New Roman" w:hAnsi="Times New Roman"/>
          <w:sz w:val="15"/>
          <w:szCs w:val="15"/>
          <w:color w:val="auto"/>
        </w:rPr>
        <w:t>This Report on Form 6-K, including the exhibits, shall be deemed to be incorporated by reference in the registration statement of Nanobiotix S.A. on Form F-3 (File No. 333-285604) and Form S-8 (File Nos. 333-253062, 333-257239, 333-272947 and 333-287272), to the extent not superseded by documents or reports subsequently filed.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Information contained in this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Closing of the Global Offering</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5"/>
          <w:szCs w:val="15"/>
          <w:color w:val="auto"/>
        </w:rPr>
        <w:t>On May 21, 2026, Nanobiotix S.A. (the “Company”) entered into an Underwriting Agreement (the “Underwriting Agreement”) with Jefferies LLC, Jefferies GmbH, TD Securities (USA) LLC, Stifel, Nicolaus &amp; Company, Incorporated and Stifel Europe Securities SAS, as representatives (“Representatives”) of the several underwriters named therein, relating to (a) an offering of 225,373 American Depositary Shares (“ADSs”), each representing one ordinary share, €0.03 nominal value per share (each an “Ordinary Share”), of the Company, in the United States (the “U.S. Offering”) at an offering price of $38.98 per ADS, (b)(i) an offering of 1,959,289 Ordinary Shares, exclusively to “qualified investors” in Europe (including France) within the meaning of Article 2(e) of Regulation (EU) 2017/1129, as amended and certain other countries (excluding the United States and Canada) (the “European Offering”) at an offering price of €33.60 per Ordinary Share and (ii) 345,099 pre-funded warrants (the “Pre-Funded Warrants”) (for certain purchasers in lieu of Ordinary Shares) to purchase 345,099 Ordinary Shares. Pursuant to the Underwriting Agreement, the Company also granted the underwriters an option to purchase up to an additional 33,805 ADSs, each representing one Ordinary Share, in the United States, at an offering price of $38.98 per ADS (the “U.S. Over-Allotment Option”). On May 21, 2026, the Representatives exercised the U.S. Over-Allotment Option to purchase an additional 33,805 ADSs at an offering price of $38.98 per ADS (the “U.S. Option Exercise”).</w:t>
      </w:r>
    </w:p>
    <w:p>
      <w:pPr>
        <w:spacing w:after="0" w:line="15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5"/>
          <w:szCs w:val="15"/>
          <w:color w:val="auto"/>
        </w:rPr>
        <w:t>The U.S. Offering and the European Offering are referred to, together, as the “Global Offering.” The Global Offering, including the U.S. Option Exercise, is expected to close on or about May 26, 2026.</w:t>
      </w:r>
    </w:p>
    <w:p>
      <w:pPr>
        <w:spacing w:after="0" w:line="138"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5"/>
          <w:szCs w:val="15"/>
          <w:color w:val="auto"/>
        </w:rPr>
        <w:t>The Global Offering was made pursuant to a prospectus supplement dated May 21, 2026 to the base prospectus dated March 6, 2025, included in the Company’s shelf registration statement on Form F-3 (File No. 333-285604), which was filed on March 6, 2025 and became effective on March 14, 2025.</w:t>
      </w:r>
    </w:p>
    <w:p>
      <w:pPr>
        <w:spacing w:after="0" w:line="138" w:lineRule="exact"/>
        <w:rPr>
          <w:sz w:val="20"/>
          <w:szCs w:val="20"/>
          <w:color w:val="auto"/>
        </w:rPr>
      </w:pPr>
    </w:p>
    <w:p>
      <w:pPr>
        <w:ind w:right="540"/>
        <w:spacing w:after="0" w:line="317" w:lineRule="auto"/>
        <w:rPr>
          <w:sz w:val="20"/>
          <w:szCs w:val="20"/>
          <w:color w:val="auto"/>
        </w:rPr>
      </w:pPr>
      <w:r>
        <w:rPr>
          <w:rFonts w:ascii="Times New Roman" w:cs="Times New Roman" w:eastAsia="Times New Roman" w:hAnsi="Times New Roman"/>
          <w:sz w:val="14"/>
          <w:szCs w:val="14"/>
          <w:color w:val="auto"/>
        </w:rPr>
        <w:t>In the Underwriting Agreement, the Company makes customary representations, warranties and covenants and also agrees to indemnify the underwriters against certain liabilities, including liabilities under the Securities Act of 1933, as amended, or to contribute to payments that the underwriters may be required to make because of such liabilities.</w:t>
      </w:r>
    </w:p>
    <w:p>
      <w:pPr>
        <w:spacing w:after="0" w:line="115"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5"/>
          <w:szCs w:val="15"/>
          <w:color w:val="auto"/>
        </w:rPr>
        <w:t>The foregoing description of the Underwriting Agreement does not purport to be a complete description of the rights and obligations of the parties thereunder, and is qualified in its entirety by reference to the Underwriting Agreement that is filed as Exhibit 1.1 to this Report on Form 6-K and incorporated by reference herein.</w:t>
      </w:r>
    </w:p>
    <w:p>
      <w:pPr>
        <w:spacing w:after="0" w:line="138"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5"/>
          <w:szCs w:val="15"/>
          <w:color w:val="auto"/>
        </w:rPr>
        <w:t>The legal opinion of Jones Day relating to the Ordinary Shares is filed as Exhibit 5.1 to this Report on Form 6-K and incorporated by reference herein and a consent relating to the incorporation of such opinion is filed as Exhibit 23.1 by reference to its inclusion within Exhibit 5.1 and incorporated by reference herein.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Report on Form 6-K shall not constitute an offer to sell or the solicitation of an offer to buy the securities discussed herein.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Terms and Conditions of the Pre-Funded Warrants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Form</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The Pre-Funded Warrants will be issued and held in registered form (</w:t>
      </w:r>
      <w:r>
        <w:rPr>
          <w:rFonts w:ascii="Times New Roman" w:cs="Times New Roman" w:eastAsia="Times New Roman" w:hAnsi="Times New Roman"/>
          <w:sz w:val="15"/>
          <w:szCs w:val="15"/>
          <w:i w:val="1"/>
          <w:iCs w:val="1"/>
          <w:color w:val="auto"/>
        </w:rPr>
        <w:t>au nominatif</w:t>
      </w:r>
      <w:r>
        <w:rPr>
          <w:rFonts w:ascii="Times New Roman" w:cs="Times New Roman" w:eastAsia="Times New Roman" w:hAnsi="Times New Roman"/>
          <w:sz w:val="15"/>
          <w:szCs w:val="15"/>
          <w:color w:val="auto"/>
        </w:rPr>
        <w:t>) in the securities account opened in the name of the holder in the books of the registrar. The Pre-Funded Warrants shall not be listed on Euronext Paris or on any other stock exchange and will be freely negotiable. Title to the Pre-Funded Warrants held by the holders thereof will be established and evidenced in accordance with Articles L.211-3 and R.211-1 of the French Monetary and Financial Code by book-entries (</w:t>
      </w:r>
      <w:r>
        <w:rPr>
          <w:rFonts w:ascii="Times New Roman" w:cs="Times New Roman" w:eastAsia="Times New Roman" w:hAnsi="Times New Roman"/>
          <w:sz w:val="15"/>
          <w:szCs w:val="15"/>
          <w:i w:val="1"/>
          <w:iCs w:val="1"/>
          <w:color w:val="auto"/>
        </w:rPr>
        <w:t>inscription en compte</w:t>
      </w:r>
      <w:r>
        <w:rPr>
          <w:rFonts w:ascii="Times New Roman" w:cs="Times New Roman" w:eastAsia="Times New Roman" w:hAnsi="Times New Roman"/>
          <w:sz w:val="15"/>
          <w:szCs w:val="15"/>
          <w:color w:val="auto"/>
        </w:rPr>
        <w:t xml:space="preserve">). No physical document of title (including </w:t>
      </w:r>
      <w:r>
        <w:rPr>
          <w:rFonts w:ascii="Times New Roman" w:cs="Times New Roman" w:eastAsia="Times New Roman" w:hAnsi="Times New Roman"/>
          <w:sz w:val="15"/>
          <w:szCs w:val="15"/>
          <w:i w:val="1"/>
          <w:iCs w:val="1"/>
          <w:color w:val="auto"/>
        </w:rPr>
        <w:t>certificats représentatifs</w:t>
      </w:r>
      <w:r>
        <w:rPr>
          <w:rFonts w:ascii="Times New Roman" w:cs="Times New Roman" w:eastAsia="Times New Roman" w:hAnsi="Times New Roman"/>
          <w:sz w:val="15"/>
          <w:szCs w:val="15"/>
          <w:color w:val="auto"/>
        </w:rPr>
        <w:t xml:space="preserve"> pursuant to Article R.211-7 of the French Monetary and Financial Code) will be issued with respect to the Pre-Funded Warrants.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Exercise Price</w:t>
      </w:r>
    </w:p>
    <w:p>
      <w:pPr>
        <w:spacing w:after="0" w:line="19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5"/>
          <w:szCs w:val="15"/>
          <w:color w:val="auto"/>
        </w:rPr>
        <w:t>The aggregate price of the Pre-Funded Warrants will be pre-funded on or prior to the issue date, except for a remaining exercise price of €0.03 per ordinary share purchasable upon exercise of each Pre-Funded Warrant. The exercise price and/or the number of ordinary shares issuable upon exercise of the Pre-Funded Warrants will be subject to adjustment from time to time according to mandatory legal requirements imposed by the French Commercial Code and in particular by Articles L. 228-98 to L. 228-101 (with the exception of the provisions of Articles L. 228-99 1° and L. 228-99 2°) and Articles R. 228-90 to R. 228-92 of this Code.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Exercisability</w:t>
      </w:r>
    </w:p>
    <w:p>
      <w:pPr>
        <w:spacing w:after="0" w:line="19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The Pre-Funded Warrants are exercisable at any time after their original issuance until May 26, 2036, during a period of ten years from their issue date. Each Pre-Funded Warrant will be exercisable for one ordinary share. The Pre-Funded Warrants will be exercisable, at the option of each holder, in whole or in part (subject always to exercising a whole number of Pre-Funded Warrants), by delivering to our registrar and to us a duly executed exercise notice accompanied by payment in full for the number of ordinary shares purchased upon such exercise.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Limitations on Exercisability</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A holder (together with its affiliates and other attribution parties) may not exercise any portion of a warrant to the extent that immediately prior to or after giving effect to such exercise the holder would beneficially own more than 9.99% of our outstanding ordinary shares immediately after giving effect to the issuance of shares upon exercise of the Pre-Funded Warrants (the ‘‘Beneficial Ownership Limitation’’). The holder, upon notice to us, may increase or decrease the Beneficial Ownership Limitation, provided that (a) to the extent required by the French Foreign Direct Investment regime, in the cases of Beneficial Ownership Limitation increased above 9.99% of the voting rights of the Company (the ‘‘Crossing Event’’), the holder has obtained from the French Ministry of Economy through an authorization request or prior notification, in accordance with the Foreign Direct Investment regime, either (i) a written response from the French Ministry of Economy confirming that the exercise of the Pre-Funded Warrants and, therefore, the acquisition of ordinary shares upon exercise of Pre-Funded Warrants that would cause the Crossing Event is not subject to the prior authorization procedure or (ii) the authorization (express or tacit) to proceed with the Crossing Event and (b) the Beneficial Ownership Limitation in no event exceeds 19.99% (to the extent applicable) of the number of shares outstanding immediately after giving effect to the issuance of ordinary shares upon exercise of the Pre-Funded Warrants held by the holder (provided that, with respect to the Foreign Direct Investment regime, the applicable percentage will be 24.99% of the voting rights of the Company). Any increase in the Beneficial Ownership Limitation will not be effective until the sixty first (61st) day after such notice is delivered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715518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i w:val="1"/>
          <w:iCs w:val="1"/>
          <w:color w:val="auto"/>
        </w:rPr>
        <w:t>Suspension of Exercisability</w:t>
      </w:r>
    </w:p>
    <w:p>
      <w:pPr>
        <w:spacing w:after="0" w:line="19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 xml:space="preserve">In the event of a capital increase, absorption, merger, spin-off or issuance of new ordinary shares or securities giving access to the share capital, or any other financial transaction involving a preferential subscription right or reserving a priority subscription period for the benefit of our shareholders, we may suspend exercises of the Pre-Funded Warrants for a period that may not exceed the shorter of three months or any other period set by the applicable regulations. In the case of a suspension, the first day of which falls during the period of three months prior to the day which would otherwise be the last day of the exercise period, the exercise period of the Pre-Funded Warrants shall be automatically extended for the same duration as the period of suspension. Our decision to suspend the ability to exercise the Pre-Funded Warrants will be published (to the extent that such publication is required under French law or any other form of communication compliant with applicable regulations) in the </w:t>
      </w:r>
      <w:r>
        <w:rPr>
          <w:rFonts w:ascii="Times New Roman" w:cs="Times New Roman" w:eastAsia="Times New Roman" w:hAnsi="Times New Roman"/>
          <w:sz w:val="14"/>
          <w:szCs w:val="14"/>
          <w:i w:val="1"/>
          <w:iCs w:val="1"/>
          <w:color w:val="auto"/>
        </w:rPr>
        <w:t>Bulletin des Annonces Légales Obligatoires</w:t>
      </w:r>
      <w:r>
        <w:rPr>
          <w:rFonts w:ascii="Times New Roman" w:cs="Times New Roman" w:eastAsia="Times New Roman" w:hAnsi="Times New Roman"/>
          <w:sz w:val="14"/>
          <w:szCs w:val="14"/>
          <w:color w:val="auto"/>
        </w:rPr>
        <w:t xml:space="preserve"> and pursuant to the terms and conditions of the Pre-Funded Warrants.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Adjustments to Exercise Ratio; Specified Transactions</w:t>
      </w:r>
    </w:p>
    <w:p>
      <w:pPr>
        <w:spacing w:after="0" w:line="19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5"/>
          <w:szCs w:val="15"/>
          <w:color w:val="auto"/>
        </w:rPr>
        <w:t>The Pre-Funded Warrants are considered securities giving access to the share capital of the Company within the meaning of Article L. 228-91 et seq. of the French Commercial Code. In accordance with the provisions of Article R. 228-92 of the French Commercial Code, if we decide to issue new ordinary shares or securities giving access to the capital with preferential subscription rights limited to our shareholders, to distribute reserves (in cash or in kind) and share premiums or to change the distribution of our profits by creating preference shares, or to otherwise carry out certain specified transactions, we will inform (as long as the current regulation so requires) the holders of Pre-Funded Warrants via an announcement in the Bulletin des Annonces Légales Obligatoires and pursuant to the terms and conditions of the Pre-Funded Warrants. If our Company is absorbed by another company or merges or consolidates with (</w:t>
      </w:r>
      <w:r>
        <w:rPr>
          <w:rFonts w:ascii="Times New Roman" w:cs="Times New Roman" w:eastAsia="Times New Roman" w:hAnsi="Times New Roman"/>
          <w:sz w:val="15"/>
          <w:szCs w:val="15"/>
          <w:i w:val="1"/>
          <w:iCs w:val="1"/>
          <w:color w:val="auto"/>
        </w:rPr>
        <w:t>fusions</w:t>
      </w:r>
      <w:r>
        <w:rPr>
          <w:rFonts w:ascii="Times New Roman" w:cs="Times New Roman" w:eastAsia="Times New Roman" w:hAnsi="Times New Roman"/>
          <w:sz w:val="15"/>
          <w:szCs w:val="15"/>
          <w:color w:val="auto"/>
        </w:rPr>
        <w:t>) one or several other companies to participate in the incorporation of a new entity, or proceeds with a split (scission), the holders of Pre-Funded Warrants shall exercise their rights in the entity(ies) benefiting from the assets in accordance with the provisions of Article L. 228-101 of the French Commercial Code. Certain specified transactions may result in an adjustment to the exercise ratio (or any adjustment as otherwise prescribed), to maintain the rights of the holders, in accordance with the adjustment conditions as specified in the terms and conditions of the Pre-Funded Warrants. The specified transactions include: (i) financial transactions (issuance of shares or any other securities of any nature) with listed preferential subscription rights or by free allocation of listed subscription warrants, (ii) free allocation of shares to shareholders, grouping or splitting shares, (iii) incorporation of reserves, profits or premiums into equity, by increasing the nominal value of the shares, (iv) distribution of reserves and of any share premium, in cash or in kind, (v) free allocation to the shareholders of the Company of any securities of the Company (except shares), (vi) merger by acquisition (</w:t>
      </w:r>
      <w:r>
        <w:rPr>
          <w:rFonts w:ascii="Times New Roman" w:cs="Times New Roman" w:eastAsia="Times New Roman" w:hAnsi="Times New Roman"/>
          <w:sz w:val="15"/>
          <w:szCs w:val="15"/>
          <w:i w:val="1"/>
          <w:iCs w:val="1"/>
          <w:color w:val="auto"/>
        </w:rPr>
        <w:t>fusion par absorption</w:t>
      </w:r>
      <w:r>
        <w:rPr>
          <w:rFonts w:ascii="Times New Roman" w:cs="Times New Roman" w:eastAsia="Times New Roman" w:hAnsi="Times New Roman"/>
          <w:sz w:val="15"/>
          <w:szCs w:val="15"/>
          <w:color w:val="auto"/>
        </w:rPr>
        <w:t>), merger (</w:t>
      </w:r>
      <w:r>
        <w:rPr>
          <w:rFonts w:ascii="Times New Roman" w:cs="Times New Roman" w:eastAsia="Times New Roman" w:hAnsi="Times New Roman"/>
          <w:sz w:val="15"/>
          <w:szCs w:val="15"/>
          <w:i w:val="1"/>
          <w:iCs w:val="1"/>
          <w:color w:val="auto"/>
        </w:rPr>
        <w:t>fusion par création d’une nouvelle société</w:t>
      </w:r>
      <w:r>
        <w:rPr>
          <w:rFonts w:ascii="Times New Roman" w:cs="Times New Roman" w:eastAsia="Times New Roman" w:hAnsi="Times New Roman"/>
          <w:sz w:val="15"/>
          <w:szCs w:val="15"/>
          <w:color w:val="auto"/>
        </w:rPr>
        <w:t>), spin-off, or division (</w:t>
      </w:r>
      <w:r>
        <w:rPr>
          <w:rFonts w:ascii="Times New Roman" w:cs="Times New Roman" w:eastAsia="Times New Roman" w:hAnsi="Times New Roman"/>
          <w:sz w:val="15"/>
          <w:szCs w:val="15"/>
          <w:i w:val="1"/>
          <w:iCs w:val="1"/>
          <w:color w:val="auto"/>
        </w:rPr>
        <w:t>scission</w:t>
      </w:r>
      <w:r>
        <w:rPr>
          <w:rFonts w:ascii="Times New Roman" w:cs="Times New Roman" w:eastAsia="Times New Roman" w:hAnsi="Times New Roman"/>
          <w:sz w:val="15"/>
          <w:szCs w:val="15"/>
          <w:color w:val="auto"/>
        </w:rPr>
        <w:t>) of the Company, (vii) buyback of the Company’s own shares at a price higher than the trading market price, (viii) amortization of the share capital, and (ix) change in the allocation of profits and/or creation of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207645</wp:posOffset>
            </wp:positionV>
            <wp:extent cx="715518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30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i w:val="1"/>
          <w:iCs w:val="1"/>
          <w:color w:val="auto"/>
        </w:rPr>
        <w:t>Fractional Shares</w:t>
      </w:r>
    </w:p>
    <w:p>
      <w:pPr>
        <w:spacing w:after="0" w:line="190"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5"/>
          <w:szCs w:val="15"/>
          <w:color w:val="auto"/>
        </w:rPr>
        <w:t>No fractional ordinary shares will be issued upon the exercise of the Pre-Funded Warrants. Rather, the number of ordinary shares to be issued will be rounded down to the nearest whole multiple of one share and the holder will receive from us a cash payment equal to the product (rounded down to the nearest whole multiple of €0.01) of (x) the fractional share (if any) so rounded down and (y) the closing price of a share on the trading market on the last trading day preceding the exercise date.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Transferability</w:t>
      </w:r>
    </w:p>
    <w:p>
      <w:pPr>
        <w:spacing w:after="0" w:line="190"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5"/>
          <w:szCs w:val="15"/>
          <w:color w:val="auto"/>
        </w:rPr>
        <w:t>The Pre-Funded Warrants will, upon issuance, be inscribed in the books of the registrar, which shall credit the account of each holder in the related register. In accordance with the provisions of Articles L. 211-15 and L. 211-17 of the French Monetary and Financial Code, title to the Pre-Funded Warrants shall be evidenced by entries in the books of such warrant register maintained by the registrar, and transfer of the Pre-Funded Warrants may only be effected through registration of the transfer in such warrant register.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Exchange Listing</w:t>
      </w:r>
    </w:p>
    <w:p>
      <w:pPr>
        <w:spacing w:after="0" w:line="190"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5"/>
          <w:szCs w:val="15"/>
          <w:color w:val="auto"/>
        </w:rPr>
        <w:t>There is no established public trading market for the Pre-Funded Warrants on any securities exchange or nationally recognized trading system. We do not intend to list the Pre-Funded Warrants on Euronext Paris, Nasdaq or any securities exchange or nationally recognized trading system.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Rights as a Holder of Pre-Funded Warrants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5"/>
          <w:szCs w:val="15"/>
          <w:color w:val="auto"/>
        </w:rPr>
        <w:t>Under French law, the holders of the Pre-Funded Warrants will be grouped automatically in a collective group with legal personality (the ‘‘</w:t>
      </w:r>
      <w:r>
        <w:rPr>
          <w:rFonts w:ascii="Times New Roman" w:cs="Times New Roman" w:eastAsia="Times New Roman" w:hAnsi="Times New Roman"/>
          <w:sz w:val="15"/>
          <w:szCs w:val="15"/>
          <w:i w:val="1"/>
          <w:iCs w:val="1"/>
          <w:color w:val="auto"/>
        </w:rPr>
        <w:t>Masse</w:t>
      </w:r>
      <w:r>
        <w:rPr>
          <w:rFonts w:ascii="Times New Roman" w:cs="Times New Roman" w:eastAsia="Times New Roman" w:hAnsi="Times New Roman"/>
          <w:sz w:val="15"/>
          <w:szCs w:val="15"/>
          <w:color w:val="auto"/>
        </w:rPr>
        <w:t>’’), to defend their common interests. The Masse will be governed by the provisions of the French Commercial Code (with the exception of the provisions of Article L.228-48 thereof),subject to the following provisions:</w:t>
      </w:r>
    </w:p>
    <w:p>
      <w:pPr>
        <w:spacing w:after="0" w:line="135" w:lineRule="exact"/>
        <w:rPr>
          <w:sz w:val="20"/>
          <w:szCs w:val="20"/>
          <w:color w:val="auto"/>
        </w:rPr>
      </w:pPr>
    </w:p>
    <w:p>
      <w:pPr>
        <w:ind w:left="540" w:right="200" w:hanging="280"/>
        <w:spacing w:after="0" w:line="282" w:lineRule="auto"/>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5"/>
          <w:szCs w:val="15"/>
          <w:i w:val="1"/>
          <w:iCs w:val="1"/>
          <w:color w:val="auto"/>
        </w:rPr>
        <w:t>Masse</w:t>
      </w:r>
      <w:r>
        <w:rPr>
          <w:rFonts w:ascii="Times New Roman" w:cs="Times New Roman" w:eastAsia="Times New Roman" w:hAnsi="Times New Roman"/>
          <w:sz w:val="15"/>
          <w:szCs w:val="15"/>
          <w:color w:val="auto"/>
        </w:rPr>
        <w:t xml:space="preserve"> will be a separate legal entity by virtue of Article L.228-103 of the French Commercial Code, acting in part through a representative elected by the holders’ general meeting and in part through a holders’ general meeting.</w:t>
      </w:r>
    </w:p>
    <w:p>
      <w:pPr>
        <w:spacing w:after="0" w:line="134" w:lineRule="exact"/>
        <w:rPr>
          <w:rFonts w:ascii="Times New Roman" w:cs="Times New Roman" w:eastAsia="Times New Roman" w:hAnsi="Times New Roman"/>
          <w:sz w:val="15"/>
          <w:szCs w:val="15"/>
          <w:color w:val="auto"/>
        </w:rPr>
      </w:pPr>
    </w:p>
    <w:p>
      <w:pPr>
        <w:ind w:left="540" w:hanging="280"/>
        <w:spacing w:after="0" w:line="266" w:lineRule="auto"/>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5"/>
          <w:szCs w:val="15"/>
          <w:i w:val="1"/>
          <w:iCs w:val="1"/>
          <w:color w:val="auto"/>
        </w:rPr>
        <w:t>Masse</w:t>
      </w:r>
      <w:r>
        <w:rPr>
          <w:rFonts w:ascii="Times New Roman" w:cs="Times New Roman" w:eastAsia="Times New Roman" w:hAnsi="Times New Roman"/>
          <w:sz w:val="15"/>
          <w:szCs w:val="15"/>
          <w:color w:val="auto"/>
        </w:rPr>
        <w:t xml:space="preserve"> alone, to the exclusion of all individual holders of the Pre-Funded Warrants, shall exercise the common rights, actions and benefits which now or in the future may accrue with respect to the Pre-Funded Warrants. The holders’ general meeting shall be convened to authorize any changes to the terms and conditions and to approve any decision that impacts the conditions for subscription of the ordinary shares underlying the Pre-Funded Warrants, as determined within the scope of the terms and conditions.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Governing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terms and conditions of the Pre-Funded Warrants shall be governed by the laws of France and interpreted and construed in accordance with such laws.</w:t>
      </w:r>
    </w:p>
    <w:p>
      <w:pPr>
        <w:spacing w:after="0" w:line="188"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5"/>
          <w:szCs w:val="15"/>
          <w:color w:val="auto"/>
        </w:rPr>
        <w:t>The foregoing description of the Terms and Conditions does not purport to be a complete description, and is qualified in its entirety by reference to the Terms and Conditions filed as Exhibit 4.1 to this Report on Form 6-K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189865</wp:posOffset>
            </wp:positionV>
            <wp:extent cx="715518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30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388"/>
        </w:trPr>
        <w:tc>
          <w:tcPr>
            <w:tcW w:w="68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00" w:type="dxa"/>
            <w:vAlign w:val="bottom"/>
          </w:tcPr>
          <w:p>
            <w:pPr>
              <w:spacing w:after="0"/>
              <w:rPr>
                <w:sz w:val="24"/>
                <w:szCs w:val="24"/>
                <w:color w:val="auto"/>
              </w:rPr>
            </w:pPr>
          </w:p>
        </w:tc>
        <w:tc>
          <w:tcPr>
            <w:tcW w:w="42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Title</w:t>
            </w:r>
          </w:p>
        </w:tc>
        <w:tc>
          <w:tcPr>
            <w:tcW w:w="116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180" w:type="dxa"/>
            <w:vAlign w:val="bottom"/>
            <w:tcBorders>
              <w:top w:val="single" w:sz="8" w:color="auto"/>
            </w:tcBorders>
            <w:gridSpan w:val="2"/>
          </w:tcPr>
          <w:p>
            <w:pPr>
              <w:spacing w:after="0" w:line="146" w:lineRule="exact"/>
              <w:rPr>
                <w:sz w:val="20"/>
                <w:szCs w:val="20"/>
                <w:color w:val="auto"/>
              </w:rPr>
            </w:pPr>
            <w:r>
              <w:rPr>
                <w:rFonts w:ascii="Times New Roman" w:cs="Times New Roman" w:eastAsia="Times New Roman" w:hAnsi="Times New Roman"/>
                <w:sz w:val="15"/>
                <w:szCs w:val="15"/>
                <w:color w:val="0000EE"/>
                <w:w w:val="85"/>
              </w:rPr>
              <w:t>1.</w:t>
            </w:r>
            <w:r>
              <w:rPr>
                <w:rFonts w:ascii="Times New Roman" w:cs="Times New Roman" w:eastAsia="Times New Roman" w:hAnsi="Times New Roman"/>
                <w:sz w:val="15"/>
                <w:szCs w:val="15"/>
                <w:u w:val="single" w:color="auto"/>
                <w:color w:val="0000EE"/>
                <w:w w:val="85"/>
              </w:rPr>
              <w:t>1</w:t>
            </w: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80" w:type="dxa"/>
            <w:vAlign w:val="bottom"/>
            <w:tcBorders>
              <w:top w:val="single" w:sz="8" w:color="auto"/>
            </w:tcBorders>
            <w:gridSpan w:val="3"/>
          </w:tcPr>
          <w:p>
            <w:pPr>
              <w:spacing w:after="0" w:line="146" w:lineRule="exact"/>
              <w:rPr>
                <w:sz w:val="20"/>
                <w:szCs w:val="20"/>
                <w:color w:val="auto"/>
              </w:rPr>
            </w:pPr>
            <w:r>
              <w:rPr>
                <w:rFonts w:ascii="Times New Roman" w:cs="Times New Roman" w:eastAsia="Times New Roman" w:hAnsi="Times New Roman"/>
                <w:sz w:val="15"/>
                <w:szCs w:val="15"/>
                <w:color w:val="auto"/>
              </w:rPr>
              <w:t>Underwriting Agreement, dated as of May 21, 2026, by and between Nanobiotix S.A. and Jefferies LLC, Jefferies GmbH, TD Securities (USA) LLC, Stifel, Nicolaus &amp;</w:t>
            </w:r>
          </w:p>
        </w:tc>
      </w:tr>
      <w:tr>
        <w:trPr>
          <w:trHeight w:val="193"/>
        </w:trPr>
        <w:tc>
          <w:tcPr>
            <w:tcW w:w="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58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Company, Incorporated and Stifel Europe Securities SAS, as representatives of the underwriters.</w:t>
            </w:r>
          </w:p>
        </w:tc>
      </w:tr>
      <w:tr>
        <w:trPr>
          <w:trHeight w:val="327"/>
        </w:trPr>
        <w:tc>
          <w:tcPr>
            <w:tcW w:w="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5"/>
                <w:szCs w:val="15"/>
                <w:color w:val="0000EE"/>
                <w:w w:val="95"/>
              </w:rPr>
              <w:t>4.</w:t>
            </w:r>
            <w:r>
              <w:rPr>
                <w:rFonts w:ascii="Times New Roman" w:cs="Times New Roman" w:eastAsia="Times New Roman" w:hAnsi="Times New Roman"/>
                <w:sz w:val="15"/>
                <w:szCs w:val="15"/>
                <w:u w:val="single" w:color="auto"/>
                <w:color w:val="0000EE"/>
                <w:w w:val="95"/>
              </w:rPr>
              <w:t>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58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Terms and Conditions of the Pre-Funded Warrants (included as Exhibit C to Exhibit 1.1).</w:t>
            </w:r>
          </w:p>
        </w:tc>
      </w:tr>
      <w:tr>
        <w:trPr>
          <w:trHeight w:val="340"/>
        </w:trPr>
        <w:tc>
          <w:tcPr>
            <w:tcW w:w="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85"/>
              </w:rPr>
              <w:t>5.</w:t>
            </w:r>
            <w:r>
              <w:rPr>
                <w:rFonts w:ascii="Times New Roman" w:cs="Times New Roman" w:eastAsia="Times New Roman" w:hAnsi="Times New Roman"/>
                <w:sz w:val="15"/>
                <w:szCs w:val="15"/>
                <w:u w:val="single" w:color="auto"/>
                <w:color w:val="0000EE"/>
                <w:w w:val="85"/>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58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Opinion of Jones Day, French counsel to the registrant</w:t>
            </w:r>
          </w:p>
        </w:tc>
      </w:tr>
      <w:tr>
        <w:trPr>
          <w:trHeight w:val="340"/>
        </w:trPr>
        <w:tc>
          <w:tcPr>
            <w:tcW w:w="680" w:type="dxa"/>
            <w:vAlign w:val="bottom"/>
            <w:gridSpan w:val="5"/>
          </w:tcPr>
          <w:p>
            <w:pPr>
              <w:spacing w:after="0"/>
              <w:rPr>
                <w:sz w:val="20"/>
                <w:szCs w:val="20"/>
                <w:color w:val="auto"/>
              </w:rPr>
            </w:pPr>
            <w:r>
              <w:rPr>
                <w:rFonts w:ascii="Times New Roman" w:cs="Times New Roman" w:eastAsia="Times New Roman" w:hAnsi="Times New Roman"/>
                <w:sz w:val="15"/>
                <w:szCs w:val="15"/>
                <w:color w:val="0000EE"/>
              </w:rPr>
              <w:t>23.</w:t>
            </w:r>
            <w:r>
              <w:rPr>
                <w:rFonts w:ascii="Times New Roman" w:cs="Times New Roman" w:eastAsia="Times New Roman" w:hAnsi="Times New Roman"/>
                <w:sz w:val="15"/>
                <w:szCs w:val="15"/>
                <w:u w:val="single" w:color="auto"/>
                <w:color w:val="0000EE"/>
              </w:rPr>
              <w:t>1</w:t>
            </w:r>
          </w:p>
        </w:tc>
        <w:tc>
          <w:tcPr>
            <w:tcW w:w="1058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Consent of Jones Day (included in Exhibit 5.1).</w:t>
            </w:r>
          </w:p>
        </w:tc>
      </w:tr>
      <w:tr>
        <w:trPr>
          <w:trHeight w:val="703"/>
        </w:trPr>
        <w:tc>
          <w:tcPr>
            <w:tcW w:w="2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93" w:right="319" w:bottom="1440" w:gutter="0" w:footer="0" w:header="0"/>
        </w:sectPr>
      </w:pPr>
    </w:p>
    <w:bookmarkStart w:id="5" w:name="page6"/>
    <w:bookmarkEnd w:id="5"/>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2" w:lineRule="exact"/>
        <w:rPr>
          <w:sz w:val="20"/>
          <w:szCs w:val="20"/>
          <w:color w:val="auto"/>
        </w:rPr>
      </w:pPr>
    </w:p>
    <w:p>
      <w:pPr>
        <w:ind w:firstLine="540"/>
        <w:spacing w:after="0" w:line="280"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3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b w:val="1"/>
          <w:bCs w:val="1"/>
          <w:color w:val="auto"/>
        </w:rPr>
        <w:t>NANOBIOTIX S.A.</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(Registrant)</w:t>
      </w:r>
    </w:p>
    <w:p>
      <w:pPr>
        <w:spacing w:after="0" w:line="174" w:lineRule="exact"/>
        <w:rPr>
          <w:sz w:val="20"/>
          <w:szCs w:val="20"/>
          <w:color w:val="auto"/>
        </w:rPr>
      </w:pPr>
    </w:p>
    <w:p>
      <w:pPr>
        <w:spacing w:after="0"/>
        <w:tabs>
          <w:tab w:leader="none" w:pos="5600" w:val="left"/>
          <w:tab w:leader="none" w:pos="6180" w:val="left"/>
        </w:tabs>
        <w:rPr>
          <w:sz w:val="20"/>
          <w:szCs w:val="20"/>
          <w:color w:val="auto"/>
        </w:rPr>
      </w:pPr>
      <w:r>
        <w:rPr>
          <w:rFonts w:ascii="Times New Roman" w:cs="Times New Roman" w:eastAsia="Times New Roman" w:hAnsi="Times New Roman"/>
          <w:sz w:val="15"/>
          <w:szCs w:val="15"/>
          <w:color w:val="auto"/>
        </w:rPr>
        <w:t>May 26, 2026</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/s/ Bart Van Rhijn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13970</wp:posOffset>
            </wp:positionV>
            <wp:extent cx="321627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16275" cy="14605"/>
                    </a:xfrm>
                    <a:prstGeom prst="rect">
                      <a:avLst/>
                    </a:prstGeom>
                    <a:noFill/>
                  </pic:spPr>
                </pic:pic>
              </a:graphicData>
            </a:graphic>
          </wp:anchor>
        </w:drawing>
      </w:r>
    </w:p>
    <w:p>
      <w:pPr>
        <w:spacing w:after="0" w:line="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color w:val="auto"/>
        </w:rPr>
        <w:t>Bart Van Rhijn</w:t>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284480</wp:posOffset>
            </wp:positionV>
            <wp:extent cx="715518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820"/>
          </w:cols>
          <w:pgMar w:left="320" w:top="301" w:right="7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180" cy="28575"/>
                    </a:xfrm>
                    <a:prstGeom prst="rect">
                      <a:avLst/>
                    </a:prstGeom>
                    <a:noFill/>
                  </pic:spPr>
                </pic:pic>
              </a:graphicData>
            </a:graphic>
          </wp:anchor>
        </w:drawing>
        <w:t>Exhibit 1.1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NANOBIOTIX S.A.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i w:val="1"/>
          <w:iCs w:val="1"/>
          <w:color w:val="auto"/>
        </w:rPr>
        <w:t>société anonyme</w:t>
      </w:r>
      <w:r>
        <w:rPr>
          <w:rFonts w:ascii="Times New Roman" w:cs="Times New Roman" w:eastAsia="Times New Roman" w:hAnsi="Times New Roman"/>
          <w:sz w:val="15"/>
          <w:szCs w:val="15"/>
          <w:color w:val="auto"/>
        </w:rPr>
        <w:t xml:space="preserve"> incorporated under the laws of France)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1,959,289 Ordinary Shares and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225,373 American Depositary Shares,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Each Representing One (1) Ordinary Share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345,099 Pre-Funded Warrants to purchase 345,099 Ordinary Share(s)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(Nominal Value €0.03 Per Share)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UNDERWRITING AGREEMENT</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May 21,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JEFFERIES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520 Madison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 10022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States of America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Jefferies GmbH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Bockenheimer Landstrasse 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60323 Frankfurt am Main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Germany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TD Securities (USA)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Vanderbilt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NY 10017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States of America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Stifel, Nicolaus &amp; Company, Incorporated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787 7th Avenue, 11th Floor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States of America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Stifel Europe Securities SAS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26 avenue des Champs-Elysées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75 008 Paris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France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86"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15"/>
          <w:szCs w:val="15"/>
          <w:color w:val="auto"/>
        </w:rPr>
        <w:t xml:space="preserve">Nanobiotix S.A., a </w:t>
      </w:r>
      <w:r>
        <w:rPr>
          <w:rFonts w:ascii="Times New Roman" w:cs="Times New Roman" w:eastAsia="Times New Roman" w:hAnsi="Times New Roman"/>
          <w:sz w:val="15"/>
          <w:szCs w:val="15"/>
          <w:i w:val="1"/>
          <w:iCs w:val="1"/>
          <w:color w:val="auto"/>
        </w:rPr>
        <w:t>société anonyme</w:t>
      </w:r>
      <w:r>
        <w:rPr>
          <w:rFonts w:ascii="Times New Roman" w:cs="Times New Roman" w:eastAsia="Times New Roman" w:hAnsi="Times New Roman"/>
          <w:sz w:val="15"/>
          <w:szCs w:val="15"/>
          <w:color w:val="auto"/>
        </w:rPr>
        <w:t xml:space="preserve"> incorporated under the laws of France and registered with the </w:t>
      </w:r>
      <w:r>
        <w:rPr>
          <w:rFonts w:ascii="Times New Roman" w:cs="Times New Roman" w:eastAsia="Times New Roman" w:hAnsi="Times New Roman"/>
          <w:sz w:val="15"/>
          <w:szCs w:val="15"/>
          <w:i w:val="1"/>
          <w:iCs w:val="1"/>
          <w:color w:val="auto"/>
        </w:rPr>
        <w:t>Registre du Commerce et des Sociétés</w:t>
      </w:r>
      <w:r>
        <w:rPr>
          <w:rFonts w:ascii="Times New Roman" w:cs="Times New Roman" w:eastAsia="Times New Roman" w:hAnsi="Times New Roman"/>
          <w:sz w:val="15"/>
          <w:szCs w:val="15"/>
          <w:color w:val="auto"/>
        </w:rPr>
        <w:t xml:space="preserve"> of Paris under number 447 521 600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xml:space="preserve">”), proposes to issue and sell to the several underwriters all named in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color w:val="auto"/>
        </w:rPr>
        <w:t>Underwriters</w:t>
      </w:r>
      <w:r>
        <w:rPr>
          <w:rFonts w:ascii="Times New Roman" w:cs="Times New Roman" w:eastAsia="Times New Roman" w:hAnsi="Times New Roman"/>
          <w:sz w:val="15"/>
          <w:szCs w:val="15"/>
          <w:color w:val="auto"/>
        </w:rPr>
        <w:t>”), an aggregate of (i) 1,959,289 ordinary shares, nominal value €0.03 per share (the “</w:t>
      </w:r>
      <w:r>
        <w:rPr>
          <w:rFonts w:ascii="Times New Roman" w:cs="Times New Roman" w:eastAsia="Times New Roman" w:hAnsi="Times New Roman"/>
          <w:sz w:val="15"/>
          <w:szCs w:val="15"/>
          <w:b w:val="1"/>
          <w:bCs w:val="1"/>
          <w:color w:val="auto"/>
        </w:rPr>
        <w:t>Ordinary Shares</w:t>
      </w:r>
      <w:r>
        <w:rPr>
          <w:rFonts w:ascii="Times New Roman" w:cs="Times New Roman" w:eastAsia="Times New Roman" w:hAnsi="Times New Roman"/>
          <w:sz w:val="15"/>
          <w:szCs w:val="15"/>
          <w:color w:val="auto"/>
        </w:rPr>
        <w:t>”) of the Company (the “</w:t>
      </w:r>
      <w:r>
        <w:rPr>
          <w:rFonts w:ascii="Times New Roman" w:cs="Times New Roman" w:eastAsia="Times New Roman" w:hAnsi="Times New Roman"/>
          <w:sz w:val="15"/>
          <w:szCs w:val="15"/>
          <w:b w:val="1"/>
          <w:bCs w:val="1"/>
          <w:color w:val="auto"/>
        </w:rPr>
        <w:t>Firm Shares</w:t>
      </w:r>
      <w:r>
        <w:rPr>
          <w:rFonts w:ascii="Times New Roman" w:cs="Times New Roman" w:eastAsia="Times New Roman" w:hAnsi="Times New Roman"/>
          <w:sz w:val="15"/>
          <w:szCs w:val="15"/>
          <w:color w:val="auto"/>
        </w:rPr>
        <w:t>”), (ii) Ordinary Shares to be delivered in the form of an aggregate of 225,373 American Depositary Shares (“</w:t>
      </w:r>
      <w:r>
        <w:rPr>
          <w:rFonts w:ascii="Times New Roman" w:cs="Times New Roman" w:eastAsia="Times New Roman" w:hAnsi="Times New Roman"/>
          <w:sz w:val="15"/>
          <w:szCs w:val="15"/>
          <w:b w:val="1"/>
          <w:bCs w:val="1"/>
          <w:color w:val="auto"/>
        </w:rPr>
        <w:t>ADSs</w:t>
      </w:r>
      <w:r>
        <w:rPr>
          <w:rFonts w:ascii="Times New Roman" w:cs="Times New Roman" w:eastAsia="Times New Roman" w:hAnsi="Times New Roman"/>
          <w:sz w:val="15"/>
          <w:szCs w:val="15"/>
          <w:color w:val="auto"/>
        </w:rPr>
        <w:t>”), each representing one Ordinary Share (the “</w:t>
      </w:r>
      <w:r>
        <w:rPr>
          <w:rFonts w:ascii="Times New Roman" w:cs="Times New Roman" w:eastAsia="Times New Roman" w:hAnsi="Times New Roman"/>
          <w:sz w:val="15"/>
          <w:szCs w:val="15"/>
          <w:b w:val="1"/>
          <w:bCs w:val="1"/>
          <w:color w:val="auto"/>
        </w:rPr>
        <w:t>Firm ADSs</w:t>
      </w:r>
      <w:r>
        <w:rPr>
          <w:rFonts w:ascii="Times New Roman" w:cs="Times New Roman" w:eastAsia="Times New Roman" w:hAnsi="Times New Roman"/>
          <w:sz w:val="15"/>
          <w:szCs w:val="15"/>
          <w:color w:val="auto"/>
        </w:rPr>
        <w:t xml:space="preserve">”), and (iii) pre-funded warrants of the Company to purchase 345,099 Ordinary Shares, the terms and conditions of which are in the form set forth as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hereto (the “</w:t>
      </w:r>
      <w:r>
        <w:rPr>
          <w:rFonts w:ascii="Times New Roman" w:cs="Times New Roman" w:eastAsia="Times New Roman" w:hAnsi="Times New Roman"/>
          <w:sz w:val="15"/>
          <w:szCs w:val="15"/>
          <w:b w:val="1"/>
          <w:bCs w:val="1"/>
          <w:color w:val="auto"/>
        </w:rPr>
        <w:t>Pre-Funded Warrants</w:t>
      </w:r>
      <w:r>
        <w:rPr>
          <w:rFonts w:ascii="Times New Roman" w:cs="Times New Roman" w:eastAsia="Times New Roman" w:hAnsi="Times New Roman"/>
          <w:sz w:val="15"/>
          <w:szCs w:val="15"/>
          <w:color w:val="auto"/>
        </w:rPr>
        <w:t>” and, together with the Firm Shares and the Firm ADSs, the “</w:t>
      </w:r>
      <w:r>
        <w:rPr>
          <w:rFonts w:ascii="Times New Roman" w:cs="Times New Roman" w:eastAsia="Times New Roman" w:hAnsi="Times New Roman"/>
          <w:sz w:val="15"/>
          <w:szCs w:val="15"/>
          <w:b w:val="1"/>
          <w:bCs w:val="1"/>
          <w:color w:val="auto"/>
        </w:rPr>
        <w:t>Firm Securities</w:t>
      </w:r>
      <w:r>
        <w:rPr>
          <w:rFonts w:ascii="Times New Roman" w:cs="Times New Roman" w:eastAsia="Times New Roman" w:hAnsi="Times New Roman"/>
          <w:sz w:val="15"/>
          <w:szCs w:val="15"/>
          <w:color w:val="auto"/>
        </w:rPr>
        <w:t xml:space="preserve">”), as set forth in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hereto. The Company also grants to the Underwriters, acting severally and not jointly, the option described in Section 2 hereof to purchase all or any part of 33,805 additional Ordinary Shares to be delivered in the form of ADSs (the “</w:t>
      </w:r>
      <w:r>
        <w:rPr>
          <w:rFonts w:ascii="Times New Roman" w:cs="Times New Roman" w:eastAsia="Times New Roman" w:hAnsi="Times New Roman"/>
          <w:sz w:val="15"/>
          <w:szCs w:val="15"/>
          <w:b w:val="1"/>
          <w:bCs w:val="1"/>
          <w:color w:val="auto"/>
        </w:rPr>
        <w:t>Option ADSs</w:t>
      </w:r>
      <w:r>
        <w:rPr>
          <w:rFonts w:ascii="Times New Roman" w:cs="Times New Roman" w:eastAsia="Times New Roman" w:hAnsi="Times New Roman"/>
          <w:sz w:val="15"/>
          <w:szCs w:val="15"/>
          <w:color w:val="auto"/>
        </w:rPr>
        <w:t>”), with each Option ADS representing one Ordinary Share. The Firm ADSs and Option ADSs are collectively called the “</w:t>
      </w:r>
      <w:r>
        <w:rPr>
          <w:rFonts w:ascii="Times New Roman" w:cs="Times New Roman" w:eastAsia="Times New Roman" w:hAnsi="Times New Roman"/>
          <w:sz w:val="15"/>
          <w:szCs w:val="15"/>
          <w:b w:val="1"/>
          <w:bCs w:val="1"/>
          <w:color w:val="auto"/>
        </w:rPr>
        <w:t>Offered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ADSs</w:t>
      </w:r>
      <w:r>
        <w:rPr>
          <w:rFonts w:ascii="Times New Roman" w:cs="Times New Roman" w:eastAsia="Times New Roman" w:hAnsi="Times New Roman"/>
          <w:sz w:val="15"/>
          <w:szCs w:val="15"/>
          <w:color w:val="auto"/>
        </w:rPr>
        <w:t>”. As used herein, “</w:t>
      </w:r>
      <w:r>
        <w:rPr>
          <w:rFonts w:ascii="Times New Roman" w:cs="Times New Roman" w:eastAsia="Times New Roman" w:hAnsi="Times New Roman"/>
          <w:sz w:val="15"/>
          <w:szCs w:val="15"/>
          <w:b w:val="1"/>
          <w:bCs w:val="1"/>
          <w:color w:val="auto"/>
        </w:rPr>
        <w:t>Warrant Shares</w:t>
      </w:r>
      <w:r>
        <w:rPr>
          <w:rFonts w:ascii="Times New Roman" w:cs="Times New Roman" w:eastAsia="Times New Roman" w:hAnsi="Times New Roman"/>
          <w:sz w:val="15"/>
          <w:szCs w:val="15"/>
          <w:color w:val="auto"/>
        </w:rPr>
        <w:t>” means the Ordinary Shares issuable upon exercise of the Pre-Funded Warrants. The aforesaid Firm Securities and all or any part of the Option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ADSs subject to the option described in Section 2 hereof are herein collectively called the “</w:t>
      </w:r>
      <w:r>
        <w:rPr>
          <w:rFonts w:ascii="Times New Roman" w:cs="Times New Roman" w:eastAsia="Times New Roman" w:hAnsi="Times New Roman"/>
          <w:sz w:val="15"/>
          <w:szCs w:val="15"/>
          <w:b w:val="1"/>
          <w:bCs w:val="1"/>
          <w:color w:val="auto"/>
        </w:rPr>
        <w:t>Offered Securities</w:t>
      </w:r>
      <w:r>
        <w:rPr>
          <w:rFonts w:ascii="Times New Roman" w:cs="Times New Roman" w:eastAsia="Times New Roman" w:hAnsi="Times New Roman"/>
          <w:sz w:val="15"/>
          <w:szCs w:val="15"/>
          <w:color w:val="auto"/>
        </w:rPr>
        <w:t>.” Unless the context otherwise requires, each reference to the Firm ADSs or the Option ADSs herein also includes the Ordinary Shares underlying the ADSs (the “</w:t>
      </w:r>
      <w:r>
        <w:rPr>
          <w:rFonts w:ascii="Times New Roman" w:cs="Times New Roman" w:eastAsia="Times New Roman" w:hAnsi="Times New Roman"/>
          <w:sz w:val="15"/>
          <w:szCs w:val="15"/>
          <w:b w:val="1"/>
          <w:bCs w:val="1"/>
          <w:color w:val="auto"/>
        </w:rPr>
        <w:t>Underlying Shares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202565</wp:posOffset>
            </wp:positionV>
            <wp:extent cx="715518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245" w:right="319" w:bottom="1440" w:gutter="0" w:footer="0" w:header="0"/>
        </w:sectPr>
      </w:pPr>
    </w:p>
    <w:bookmarkStart w:id="7" w:name="page8"/>
    <w:bookmarkEnd w:id="7"/>
    <w:p>
      <w:pPr>
        <w:jc w:val="both"/>
        <w:ind w:firstLine="540"/>
        <w:spacing w:after="0" w:line="210" w:lineRule="auto"/>
        <w:rPr>
          <w:sz w:val="20"/>
          <w:szCs w:val="20"/>
          <w:color w:val="auto"/>
        </w:rPr>
      </w:pPr>
      <w:r>
        <w:rPr>
          <w:rFonts w:ascii="Times New Roman" w:cs="Times New Roman" w:eastAsia="Times New Roman" w:hAnsi="Times New Roman"/>
          <w:sz w:val="15"/>
          <w:szCs w:val="15"/>
          <w:color w:val="auto"/>
        </w:rPr>
        <w:t>Each of the parties acknowledges and agrees (for itself and on behalf of its respective controlled Affiliates and persons acting on their behalf) that the Offered Securities will be issued without preferential rights for existing shareholders, pursuant to the 29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36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and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resolutions of the Company’s combined general shareholders’ meeting held on May 19, 2025.</w:t>
      </w:r>
    </w:p>
    <w:p>
      <w:pPr>
        <w:spacing w:after="0" w:line="163"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15"/>
          <w:szCs w:val="15"/>
          <w:color w:val="auto"/>
        </w:rPr>
        <w:t>Jefferies LLC (“</w:t>
      </w:r>
      <w:r>
        <w:rPr>
          <w:rFonts w:ascii="Times New Roman" w:cs="Times New Roman" w:eastAsia="Times New Roman" w:hAnsi="Times New Roman"/>
          <w:sz w:val="15"/>
          <w:szCs w:val="15"/>
          <w:b w:val="1"/>
          <w:bCs w:val="1"/>
          <w:color w:val="auto"/>
        </w:rPr>
        <w:t>Jefferies LLC</w:t>
      </w:r>
      <w:r>
        <w:rPr>
          <w:rFonts w:ascii="Times New Roman" w:cs="Times New Roman" w:eastAsia="Times New Roman" w:hAnsi="Times New Roman"/>
          <w:sz w:val="15"/>
          <w:szCs w:val="15"/>
          <w:color w:val="auto"/>
        </w:rPr>
        <w:t>”), TD Securities (USA) LLC and Stifel, Nicolaus &amp; Company, Incorporated have agreed to act as representatives of the several Underwriters with respect to the U.S. Offering (as defined below) (in such capacity, together the “</w:t>
      </w:r>
      <w:r>
        <w:rPr>
          <w:rFonts w:ascii="Times New Roman" w:cs="Times New Roman" w:eastAsia="Times New Roman" w:hAnsi="Times New Roman"/>
          <w:sz w:val="15"/>
          <w:szCs w:val="15"/>
          <w:b w:val="1"/>
          <w:bCs w:val="1"/>
          <w:color w:val="auto"/>
        </w:rPr>
        <w:t>U.S. Representatives</w:t>
      </w:r>
      <w:r>
        <w:rPr>
          <w:rFonts w:ascii="Times New Roman" w:cs="Times New Roman" w:eastAsia="Times New Roman" w:hAnsi="Times New Roman"/>
          <w:sz w:val="15"/>
          <w:szCs w:val="15"/>
          <w:color w:val="auto"/>
        </w:rPr>
        <w:t>”), and Jefferies GmbH (“</w:t>
      </w:r>
      <w:r>
        <w:rPr>
          <w:rFonts w:ascii="Times New Roman" w:cs="Times New Roman" w:eastAsia="Times New Roman" w:hAnsi="Times New Roman"/>
          <w:sz w:val="15"/>
          <w:szCs w:val="15"/>
          <w:b w:val="1"/>
          <w:bCs w:val="1"/>
          <w:color w:val="auto"/>
        </w:rPr>
        <w:t>Jefferies GmbH</w:t>
      </w:r>
      <w:r>
        <w:rPr>
          <w:rFonts w:ascii="Times New Roman" w:cs="Times New Roman" w:eastAsia="Times New Roman" w:hAnsi="Times New Roman"/>
          <w:sz w:val="15"/>
          <w:szCs w:val="15"/>
          <w:color w:val="auto"/>
        </w:rPr>
        <w:t>”, together with Jefferies LLC, “</w:t>
      </w:r>
      <w:r>
        <w:rPr>
          <w:rFonts w:ascii="Times New Roman" w:cs="Times New Roman" w:eastAsia="Times New Roman" w:hAnsi="Times New Roman"/>
          <w:sz w:val="15"/>
          <w:szCs w:val="15"/>
          <w:b w:val="1"/>
          <w:bCs w:val="1"/>
          <w:color w:val="auto"/>
        </w:rPr>
        <w:t>Jefferies</w:t>
      </w:r>
      <w:r>
        <w:rPr>
          <w:rFonts w:ascii="Times New Roman" w:cs="Times New Roman" w:eastAsia="Times New Roman" w:hAnsi="Times New Roman"/>
          <w:sz w:val="15"/>
          <w:szCs w:val="15"/>
          <w:color w:val="auto"/>
        </w:rPr>
        <w:t>”) and Stifel Europe Securities SAS have agreed to act as representatives of the several Underwriters with respect to the International Offering (as defined below) (in such capacity, the “</w:t>
      </w:r>
      <w:r>
        <w:rPr>
          <w:rFonts w:ascii="Times New Roman" w:cs="Times New Roman" w:eastAsia="Times New Roman" w:hAnsi="Times New Roman"/>
          <w:sz w:val="15"/>
          <w:szCs w:val="15"/>
          <w:b w:val="1"/>
          <w:bCs w:val="1"/>
          <w:color w:val="auto"/>
        </w:rPr>
        <w:t>European Representatives</w:t>
      </w:r>
      <w:r>
        <w:rPr>
          <w:rFonts w:ascii="Times New Roman" w:cs="Times New Roman" w:eastAsia="Times New Roman" w:hAnsi="Times New Roman"/>
          <w:sz w:val="15"/>
          <w:szCs w:val="15"/>
          <w:color w:val="auto"/>
        </w:rPr>
        <w:t>”, together with the U.S. Representatives, the “</w:t>
      </w:r>
      <w:r>
        <w:rPr>
          <w:rFonts w:ascii="Times New Roman" w:cs="Times New Roman" w:eastAsia="Times New Roman" w:hAnsi="Times New Roman"/>
          <w:sz w:val="15"/>
          <w:szCs w:val="15"/>
          <w:b w:val="1"/>
          <w:bCs w:val="1"/>
          <w:color w:val="auto"/>
        </w:rPr>
        <w:t>Representatives</w:t>
      </w:r>
      <w:r>
        <w:rPr>
          <w:rFonts w:ascii="Times New Roman" w:cs="Times New Roman" w:eastAsia="Times New Roman" w:hAnsi="Times New Roman"/>
          <w:sz w:val="15"/>
          <w:szCs w:val="15"/>
          <w:color w:val="auto"/>
        </w:rPr>
        <w:t xml:space="preserve">”) in connection with the offering and sale of the Offered Securities. To the extent there are no additional underwriters listed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the term “Representatives” as used herein shall mean you, as Underwriters, and the term “Underwriters” shall mean either the singular or the plural, as the context requires. It is understood that the obligations of the Underwriters contained in this Agreement shall not constitute a performance guarantee (</w:t>
      </w:r>
      <w:r>
        <w:rPr>
          <w:rFonts w:ascii="Times New Roman" w:cs="Times New Roman" w:eastAsia="Times New Roman" w:hAnsi="Times New Roman"/>
          <w:sz w:val="15"/>
          <w:szCs w:val="15"/>
          <w:i w:val="1"/>
          <w:iCs w:val="1"/>
          <w:color w:val="auto"/>
        </w:rPr>
        <w:t>garantie de bonne fin</w:t>
      </w:r>
      <w:r>
        <w:rPr>
          <w:rFonts w:ascii="Times New Roman" w:cs="Times New Roman" w:eastAsia="Times New Roman" w:hAnsi="Times New Roman"/>
          <w:sz w:val="15"/>
          <w:szCs w:val="15"/>
          <w:color w:val="auto"/>
        </w:rPr>
        <w:t>) within the meaning of Article L. 225-145 of the French Commercial Code.</w:t>
      </w:r>
    </w:p>
    <w:p>
      <w:pPr>
        <w:spacing w:after="0" w:line="153"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15"/>
          <w:szCs w:val="15"/>
          <w:color w:val="auto"/>
        </w:rPr>
        <w:t>The ADSs will be evidenced by American Depositary Receipts (the “</w:t>
      </w:r>
      <w:r>
        <w:rPr>
          <w:rFonts w:ascii="Times New Roman" w:cs="Times New Roman" w:eastAsia="Times New Roman" w:hAnsi="Times New Roman"/>
          <w:sz w:val="15"/>
          <w:szCs w:val="15"/>
          <w:b w:val="1"/>
          <w:bCs w:val="1"/>
          <w:color w:val="auto"/>
        </w:rPr>
        <w:t>ADRs</w:t>
      </w:r>
      <w:r>
        <w:rPr>
          <w:rFonts w:ascii="Times New Roman" w:cs="Times New Roman" w:eastAsia="Times New Roman" w:hAnsi="Times New Roman"/>
          <w:sz w:val="15"/>
          <w:szCs w:val="15"/>
          <w:color w:val="auto"/>
        </w:rPr>
        <w:t>”) to be issued pursuant to a deposit agreement dated as of December 15, 2020 (the “</w:t>
      </w:r>
      <w:r>
        <w:rPr>
          <w:rFonts w:ascii="Times New Roman" w:cs="Times New Roman" w:eastAsia="Times New Roman" w:hAnsi="Times New Roman"/>
          <w:sz w:val="15"/>
          <w:szCs w:val="15"/>
          <w:b w:val="1"/>
          <w:bCs w:val="1"/>
          <w:color w:val="auto"/>
        </w:rPr>
        <w:t>Deposit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among the Company, Citibank, N.A., as depositary (the “</w:t>
      </w:r>
      <w:r>
        <w:rPr>
          <w:rFonts w:ascii="Times New Roman" w:cs="Times New Roman" w:eastAsia="Times New Roman" w:hAnsi="Times New Roman"/>
          <w:sz w:val="15"/>
          <w:szCs w:val="15"/>
          <w:b w:val="1"/>
          <w:bCs w:val="1"/>
          <w:color w:val="auto"/>
        </w:rPr>
        <w:t>Depositary</w:t>
      </w:r>
      <w:r>
        <w:rPr>
          <w:rFonts w:ascii="Times New Roman" w:cs="Times New Roman" w:eastAsia="Times New Roman" w:hAnsi="Times New Roman"/>
          <w:sz w:val="15"/>
          <w:szCs w:val="15"/>
          <w:color w:val="auto"/>
        </w:rPr>
        <w:t>”), and the holders from time to time of the ADRs evidencing the ADSs issued thereunder.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shall, following subscription by the Underwriters of the Firm ADSs and, if applicable, the Option ADSs, deposit, on behalf of the Underwriters, the Underlying Shares represented by such ADSs with Citibank, N.A., as custodian (the “</w:t>
      </w:r>
      <w:r>
        <w:rPr>
          <w:rFonts w:ascii="Times New Roman" w:cs="Times New Roman" w:eastAsia="Times New Roman" w:hAnsi="Times New Roman"/>
          <w:sz w:val="15"/>
          <w:szCs w:val="15"/>
          <w:b w:val="1"/>
          <w:bCs w:val="1"/>
          <w:color w:val="auto"/>
        </w:rPr>
        <w:t>Depositary Custodian</w:t>
      </w:r>
      <w:r>
        <w:rPr>
          <w:rFonts w:ascii="Times New Roman" w:cs="Times New Roman" w:eastAsia="Times New Roman" w:hAnsi="Times New Roman"/>
          <w:sz w:val="15"/>
          <w:szCs w:val="15"/>
          <w:color w:val="auto"/>
        </w:rPr>
        <w:t>”) for the Depositary, which shall deliver such ADSs to the Representatives with respect to the U.S. Offering for the account of the several Underwriters for subsequent delivery to the other several Underwriters or the investors, as the case may be. Title to the Pre-Funded Warrants will be established and evidenced in accordance with Articles L.211-3 and R.211-1 of the French Monetary and Financial Code by book-entries (</w:t>
      </w:r>
      <w:r>
        <w:rPr>
          <w:rFonts w:ascii="Times New Roman" w:cs="Times New Roman" w:eastAsia="Times New Roman" w:hAnsi="Times New Roman"/>
          <w:sz w:val="15"/>
          <w:szCs w:val="15"/>
          <w:i w:val="1"/>
          <w:iCs w:val="1"/>
          <w:color w:val="auto"/>
        </w:rPr>
        <w:t>inscription en compte</w:t>
      </w:r>
      <w:r>
        <w:rPr>
          <w:rFonts w:ascii="Times New Roman" w:cs="Times New Roman" w:eastAsia="Times New Roman" w:hAnsi="Times New Roman"/>
          <w:sz w:val="15"/>
          <w:szCs w:val="15"/>
          <w:color w:val="auto"/>
        </w:rPr>
        <w:t xml:space="preserve">). No physical document of title (including </w:t>
      </w:r>
      <w:r>
        <w:rPr>
          <w:rFonts w:ascii="Times New Roman" w:cs="Times New Roman" w:eastAsia="Times New Roman" w:hAnsi="Times New Roman"/>
          <w:sz w:val="15"/>
          <w:szCs w:val="15"/>
          <w:i w:val="1"/>
          <w:iCs w:val="1"/>
          <w:color w:val="auto"/>
        </w:rPr>
        <w:t>certificats représentatifs</w:t>
      </w:r>
      <w:r>
        <w:rPr>
          <w:rFonts w:ascii="Times New Roman" w:cs="Times New Roman" w:eastAsia="Times New Roman" w:hAnsi="Times New Roman"/>
          <w:sz w:val="15"/>
          <w:szCs w:val="15"/>
          <w:color w:val="auto"/>
        </w:rPr>
        <w:t xml:space="preserve"> pursuant to Article R.211-7 of the French Monetary and Financial Code) will be issued in respect of the Pre-Funded Warrants.</w:t>
      </w:r>
    </w:p>
    <w:p>
      <w:pPr>
        <w:spacing w:after="0" w:line="153" w:lineRule="exact"/>
        <w:rPr>
          <w:sz w:val="20"/>
          <w:szCs w:val="20"/>
          <w:color w:val="auto"/>
        </w:rPr>
      </w:pPr>
    </w:p>
    <w:p>
      <w:pPr>
        <w:jc w:val="both"/>
        <w:ind w:firstLine="540"/>
        <w:spacing w:after="0" w:line="259" w:lineRule="auto"/>
        <w:rPr>
          <w:sz w:val="20"/>
          <w:szCs w:val="20"/>
          <w:color w:val="auto"/>
        </w:rPr>
      </w:pPr>
      <w:r>
        <w:rPr>
          <w:rFonts w:ascii="Times New Roman" w:cs="Times New Roman" w:eastAsia="Times New Roman" w:hAnsi="Times New Roman"/>
          <w:sz w:val="15"/>
          <w:szCs w:val="15"/>
          <w:color w:val="auto"/>
        </w:rPr>
        <w:t>The Company understands that the Underwriters propose to make a public offering in the United States of the Offered ADSs (the “</w:t>
      </w:r>
      <w:r>
        <w:rPr>
          <w:rFonts w:ascii="Times New Roman" w:cs="Times New Roman" w:eastAsia="Times New Roman" w:hAnsi="Times New Roman"/>
          <w:sz w:val="15"/>
          <w:szCs w:val="15"/>
          <w:b w:val="1"/>
          <w:bCs w:val="1"/>
          <w:color w:val="auto"/>
        </w:rPr>
        <w:t>U.S. Offering</w:t>
      </w:r>
      <w:r>
        <w:rPr>
          <w:rFonts w:ascii="Times New Roman" w:cs="Times New Roman" w:eastAsia="Times New Roman" w:hAnsi="Times New Roman"/>
          <w:sz w:val="15"/>
          <w:szCs w:val="15"/>
          <w:color w:val="auto"/>
        </w:rPr>
        <w:t>”) as soon as the Representatives deem advisable after this Underwriting Agreement (this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has been executed and delivered. The Firm Shares and the Pre-Funded Warrants will also be offered outside the United States (i) in France and other member states of the European Union to “qualified investors” within the meaning of Article 2(e) of the Regulation (EU) 2017/1129 as may be amended from time to time (the “</w:t>
      </w:r>
      <w:r>
        <w:rPr>
          <w:rFonts w:ascii="Times New Roman" w:cs="Times New Roman" w:eastAsia="Times New Roman" w:hAnsi="Times New Roman"/>
          <w:sz w:val="15"/>
          <w:szCs w:val="15"/>
          <w:b w:val="1"/>
          <w:bCs w:val="1"/>
          <w:color w:val="auto"/>
        </w:rPr>
        <w:t>Prospectus Regulation</w:t>
      </w:r>
      <w:r>
        <w:rPr>
          <w:rFonts w:ascii="Times New Roman" w:cs="Times New Roman" w:eastAsia="Times New Roman" w:hAnsi="Times New Roman"/>
          <w:sz w:val="15"/>
          <w:szCs w:val="15"/>
          <w:color w:val="auto"/>
        </w:rPr>
        <w:t>”) and (ii) outside of the European Union, pursuant to the applicable private placement exemptions in any such jurisdiction (the “</w:t>
      </w:r>
      <w:r>
        <w:rPr>
          <w:rFonts w:ascii="Times New Roman" w:cs="Times New Roman" w:eastAsia="Times New Roman" w:hAnsi="Times New Roman"/>
          <w:sz w:val="15"/>
          <w:szCs w:val="15"/>
          <w:b w:val="1"/>
          <w:bCs w:val="1"/>
          <w:color w:val="auto"/>
        </w:rPr>
        <w:t>International Offering</w:t>
      </w:r>
      <w:r>
        <w:rPr>
          <w:rFonts w:ascii="Times New Roman" w:cs="Times New Roman" w:eastAsia="Times New Roman" w:hAnsi="Times New Roman"/>
          <w:sz w:val="15"/>
          <w:szCs w:val="15"/>
          <w:color w:val="auto"/>
        </w:rPr>
        <w: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8" w:name="page9"/>
    <w:bookmarkEnd w:id="8"/>
    <w:p>
      <w:pPr>
        <w:jc w:val="both"/>
        <w:ind w:left="10" w:firstLine="540"/>
        <w:spacing w:after="0" w:line="182" w:lineRule="exact"/>
        <w:rPr>
          <w:sz w:val="20"/>
          <w:szCs w:val="20"/>
          <w:color w:val="auto"/>
        </w:rPr>
      </w:pPr>
      <w:r>
        <w:rPr>
          <w:rFonts w:ascii="Times New Roman" w:cs="Times New Roman" w:eastAsia="Times New Roman" w:hAnsi="Times New Roman"/>
          <w:sz w:val="15"/>
          <w:szCs w:val="15"/>
          <w:color w:val="auto"/>
        </w:rPr>
        <w:t>The Company has prepared and filed with the Securities and Exchange Commission (the “</w:t>
      </w:r>
      <w:r>
        <w:rPr>
          <w:rFonts w:ascii="Times New Roman" w:cs="Times New Roman" w:eastAsia="Times New Roman" w:hAnsi="Times New Roman"/>
          <w:sz w:val="15"/>
          <w:szCs w:val="15"/>
          <w:b w:val="1"/>
          <w:bCs w:val="1"/>
          <w:color w:val="auto"/>
        </w:rPr>
        <w:t>Commission</w:t>
      </w:r>
      <w:r>
        <w:rPr>
          <w:rFonts w:ascii="Times New Roman" w:cs="Times New Roman" w:eastAsia="Times New Roman" w:hAnsi="Times New Roman"/>
          <w:sz w:val="15"/>
          <w:szCs w:val="15"/>
          <w:color w:val="auto"/>
        </w:rPr>
        <w:t>”) a shelf registration statement on Form F-3 (File No. 333</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285604) with respect to the Offered Securities, including a base prospectus (the “</w:t>
      </w:r>
      <w:r>
        <w:rPr>
          <w:rFonts w:ascii="Times New Roman" w:cs="Times New Roman" w:eastAsia="Times New Roman" w:hAnsi="Times New Roman"/>
          <w:sz w:val="15"/>
          <w:szCs w:val="15"/>
          <w:b w:val="1"/>
          <w:bCs w:val="1"/>
          <w:color w:val="auto"/>
        </w:rPr>
        <w:t>Base Prospectus</w:t>
      </w:r>
      <w:r>
        <w:rPr>
          <w:rFonts w:ascii="Times New Roman" w:cs="Times New Roman" w:eastAsia="Times New Roman" w:hAnsi="Times New Roman"/>
          <w:sz w:val="15"/>
          <w:szCs w:val="15"/>
          <w:color w:val="auto"/>
        </w:rPr>
        <w:t>”) to be used in connection with the public offering and sale of the Offered Securities. Such registration statement, as amended, including all documents incorporated by reference therein and the financial statements, exhibits and schedules thereto or incorporated by reference therein, in the form in which it became effective under the Securities Act of 1933, as amended, and the rules and regulations promulgated thereunder (collectively, the “</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including all documents incorporated or deemed to be incorporated by reference therein and any information deemed to be a part thereof at the time of effectiveness pursuant to Rule 430A or 430B under the Securities Act, is called the “</w:t>
      </w:r>
      <w:r>
        <w:rPr>
          <w:rFonts w:ascii="Times New Roman" w:cs="Times New Roman" w:eastAsia="Times New Roman" w:hAnsi="Times New Roman"/>
          <w:sz w:val="15"/>
          <w:szCs w:val="15"/>
          <w:b w:val="1"/>
          <w:bCs w:val="1"/>
          <w:color w:val="auto"/>
        </w:rPr>
        <w:t>Registration Statement</w:t>
      </w:r>
      <w:r>
        <w:rPr>
          <w:rFonts w:ascii="Times New Roman" w:cs="Times New Roman" w:eastAsia="Times New Roman" w:hAnsi="Times New Roman"/>
          <w:sz w:val="15"/>
          <w:szCs w:val="15"/>
          <w:color w:val="auto"/>
        </w:rPr>
        <w:t>.” Any registration statement filed by the Company pursuant to Rule 462(b) under the Securities Act in connection with the offer and sale of the Offered Securities is called the “</w:t>
      </w:r>
      <w:r>
        <w:rPr>
          <w:rFonts w:ascii="Times New Roman" w:cs="Times New Roman" w:eastAsia="Times New Roman" w:hAnsi="Times New Roman"/>
          <w:sz w:val="15"/>
          <w:szCs w:val="15"/>
          <w:b w:val="1"/>
          <w:bCs w:val="1"/>
          <w:color w:val="auto"/>
        </w:rPr>
        <w:t>Rule 462(b) Registration Statement</w:t>
      </w:r>
      <w:r>
        <w:rPr>
          <w:rFonts w:ascii="Times New Roman" w:cs="Times New Roman" w:eastAsia="Times New Roman" w:hAnsi="Times New Roman"/>
          <w:sz w:val="15"/>
          <w:szCs w:val="15"/>
          <w:color w:val="auto"/>
        </w:rPr>
        <w:t>,” and from and after the date and time of filing of any such Rule 462(b) Registration Statement the term “Registration Statement” shall include the Rule 462(b) Registration Statement. The Company and the Depositary have prepared and filed with the Commission a registration statement on Form F-6, as amended (File No. 333-250880) relating to the Offered ADSs. Such registration statement, as amended, including the financial statements, exhibits and schedules thereto, in the form in which it became effective under the Securities Act, including all documents incorporated or deemed to be incorporated by reference therein, is called the “</w:t>
      </w:r>
      <w:r>
        <w:rPr>
          <w:rFonts w:ascii="Times New Roman" w:cs="Times New Roman" w:eastAsia="Times New Roman" w:hAnsi="Times New Roman"/>
          <w:sz w:val="15"/>
          <w:szCs w:val="15"/>
          <w:b w:val="1"/>
          <w:bCs w:val="1"/>
          <w:color w:val="auto"/>
        </w:rPr>
        <w:t>F-6 Registration Statement</w:t>
      </w:r>
      <w:r>
        <w:rPr>
          <w:rFonts w:ascii="Times New Roman" w:cs="Times New Roman" w:eastAsia="Times New Roman" w:hAnsi="Times New Roman"/>
          <w:sz w:val="15"/>
          <w:szCs w:val="15"/>
          <w:color w:val="auto"/>
        </w:rPr>
        <w:t>.” The preliminary prospectus supplement dated May 20, 2026 describing the Offered Securities and the offering thereof (the “</w:t>
      </w:r>
      <w:r>
        <w:rPr>
          <w:rFonts w:ascii="Times New Roman" w:cs="Times New Roman" w:eastAsia="Times New Roman" w:hAnsi="Times New Roman"/>
          <w:sz w:val="15"/>
          <w:szCs w:val="15"/>
          <w:b w:val="1"/>
          <w:bCs w:val="1"/>
          <w:color w:val="auto"/>
        </w:rPr>
        <w:t>Preliminary Prospectus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Supplement</w:t>
      </w:r>
      <w:r>
        <w:rPr>
          <w:rFonts w:ascii="Times New Roman" w:cs="Times New Roman" w:eastAsia="Times New Roman" w:hAnsi="Times New Roman"/>
          <w:sz w:val="15"/>
          <w:szCs w:val="15"/>
          <w:color w:val="auto"/>
        </w:rPr>
        <w:t>”), together with the Base Prospectus, is called the “</w:t>
      </w:r>
      <w:r>
        <w:rPr>
          <w:rFonts w:ascii="Times New Roman" w:cs="Times New Roman" w:eastAsia="Times New Roman" w:hAnsi="Times New Roman"/>
          <w:sz w:val="15"/>
          <w:szCs w:val="15"/>
          <w:b w:val="1"/>
          <w:bCs w:val="1"/>
          <w:color w:val="auto"/>
        </w:rPr>
        <w:t>Preliminary Prospectus</w:t>
      </w:r>
      <w:r>
        <w:rPr>
          <w:rFonts w:ascii="Times New Roman" w:cs="Times New Roman" w:eastAsia="Times New Roman" w:hAnsi="Times New Roman"/>
          <w:sz w:val="15"/>
          <w:szCs w:val="15"/>
          <w:color w:val="auto"/>
        </w:rPr>
        <w:t>,” and the Preliminary Prospectus and any other prospectus supplement to the Base Prospectus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preliminary form that describes the Offered Securities and the offering thereof and is used prior to the filing of the Prospectus (as defined below), together with the Base Prospectus, is called a “</w:t>
      </w:r>
      <w:r>
        <w:rPr>
          <w:rFonts w:ascii="Times New Roman" w:cs="Times New Roman" w:eastAsia="Times New Roman" w:hAnsi="Times New Roman"/>
          <w:sz w:val="15"/>
          <w:szCs w:val="15"/>
          <w:b w:val="1"/>
          <w:bCs w:val="1"/>
          <w:color w:val="auto"/>
        </w:rPr>
        <w:t>preliminary prospectus</w:t>
      </w:r>
      <w:r>
        <w:rPr>
          <w:rFonts w:ascii="Times New Roman" w:cs="Times New Roman" w:eastAsia="Times New Roman" w:hAnsi="Times New Roman"/>
          <w:sz w:val="15"/>
          <w:szCs w:val="15"/>
          <w:color w:val="auto"/>
        </w:rPr>
        <w:t>.” As used herein, the term “</w:t>
      </w:r>
      <w:r>
        <w:rPr>
          <w:rFonts w:ascii="Times New Roman" w:cs="Times New Roman" w:eastAsia="Times New Roman" w:hAnsi="Times New Roman"/>
          <w:sz w:val="15"/>
          <w:szCs w:val="15"/>
          <w:b w:val="1"/>
          <w:bCs w:val="1"/>
          <w:color w:val="auto"/>
        </w:rPr>
        <w:t>Prospectus</w:t>
      </w:r>
      <w:r>
        <w:rPr>
          <w:rFonts w:ascii="Times New Roman" w:cs="Times New Roman" w:eastAsia="Times New Roman" w:hAnsi="Times New Roman"/>
          <w:sz w:val="15"/>
          <w:szCs w:val="15"/>
          <w:color w:val="auto"/>
        </w:rPr>
        <w:t>” shall mean the final prospectus supplement to the Base Prospectus that describes the Offered Securities and the offering thereof (the “</w:t>
      </w:r>
      <w:r>
        <w:rPr>
          <w:rFonts w:ascii="Times New Roman" w:cs="Times New Roman" w:eastAsia="Times New Roman" w:hAnsi="Times New Roman"/>
          <w:sz w:val="15"/>
          <w:szCs w:val="15"/>
          <w:b w:val="1"/>
          <w:bCs w:val="1"/>
          <w:color w:val="auto"/>
        </w:rPr>
        <w:t>Final Prospectus Supplement</w:t>
      </w:r>
      <w:r>
        <w:rPr>
          <w:rFonts w:ascii="Times New Roman" w:cs="Times New Roman" w:eastAsia="Times New Roman" w:hAnsi="Times New Roman"/>
          <w:sz w:val="15"/>
          <w:szCs w:val="15"/>
          <w:color w:val="auto"/>
        </w:rPr>
        <w:t>”), together with the Base Prospectus, in the form first used by the Underwriters to confirm sales of the Offered Securities or in the form first made available to the Underwriters by the Company to meet requests of purchasers pursuant to Rule 173 under the Securities Act. As used herein, “</w:t>
      </w:r>
      <w:r>
        <w:rPr>
          <w:rFonts w:ascii="Times New Roman" w:cs="Times New Roman" w:eastAsia="Times New Roman" w:hAnsi="Times New Roman"/>
          <w:sz w:val="15"/>
          <w:szCs w:val="15"/>
          <w:b w:val="1"/>
          <w:bCs w:val="1"/>
          <w:color w:val="auto"/>
        </w:rPr>
        <w:t>Applicable Time</w:t>
      </w:r>
      <w:r>
        <w:rPr>
          <w:rFonts w:ascii="Times New Roman" w:cs="Times New Roman" w:eastAsia="Times New Roman" w:hAnsi="Times New Roman"/>
          <w:sz w:val="15"/>
          <w:szCs w:val="15"/>
          <w:color w:val="auto"/>
        </w:rPr>
        <w:t>” is 8:30 a.m. (New York City time) on May 21, 2026. As used herein, “</w:t>
      </w:r>
      <w:r>
        <w:rPr>
          <w:rFonts w:ascii="Times New Roman" w:cs="Times New Roman" w:eastAsia="Times New Roman" w:hAnsi="Times New Roman"/>
          <w:sz w:val="15"/>
          <w:szCs w:val="15"/>
          <w:b w:val="1"/>
          <w:bCs w:val="1"/>
          <w:color w:val="auto"/>
        </w:rPr>
        <w:t>free writing prospectus</w:t>
      </w:r>
      <w:r>
        <w:rPr>
          <w:rFonts w:ascii="Times New Roman" w:cs="Times New Roman" w:eastAsia="Times New Roman" w:hAnsi="Times New Roman"/>
          <w:sz w:val="15"/>
          <w:szCs w:val="15"/>
          <w:color w:val="auto"/>
        </w:rPr>
        <w:t>” has the meaning set forth in Rule 405 under the Securities Act, and “</w:t>
      </w:r>
      <w:r>
        <w:rPr>
          <w:rFonts w:ascii="Times New Roman" w:cs="Times New Roman" w:eastAsia="Times New Roman" w:hAnsi="Times New Roman"/>
          <w:sz w:val="15"/>
          <w:szCs w:val="15"/>
          <w:b w:val="1"/>
          <w:bCs w:val="1"/>
          <w:color w:val="auto"/>
        </w:rPr>
        <w:t>Time of Sale Prospectus</w:t>
      </w:r>
      <w:r>
        <w:rPr>
          <w:rFonts w:ascii="Times New Roman" w:cs="Times New Roman" w:eastAsia="Times New Roman" w:hAnsi="Times New Roman"/>
          <w:sz w:val="15"/>
          <w:szCs w:val="15"/>
          <w:color w:val="auto"/>
        </w:rPr>
        <w:t xml:space="preserve">” means the Preliminary Prospectus, as amended or supplemented immediately prior to the Applicable Time, together with the free writing prospectuses, if any, identified in </w:t>
      </w:r>
      <w:r>
        <w:rPr>
          <w:rFonts w:ascii="Times New Roman" w:cs="Times New Roman" w:eastAsia="Times New Roman" w:hAnsi="Times New Roman"/>
          <w:sz w:val="15"/>
          <w:szCs w:val="15"/>
          <w:u w:val="single" w:color="auto"/>
          <w:color w:val="auto"/>
        </w:rPr>
        <w:t>Schedule B</w:t>
      </w:r>
      <w:r>
        <w:rPr>
          <w:rFonts w:ascii="Times New Roman" w:cs="Times New Roman" w:eastAsia="Times New Roman" w:hAnsi="Times New Roman"/>
          <w:sz w:val="15"/>
          <w:szCs w:val="15"/>
          <w:color w:val="auto"/>
        </w:rPr>
        <w:t xml:space="preserve"> hereto. As used herein, “</w:t>
      </w:r>
      <w:r>
        <w:rPr>
          <w:rFonts w:ascii="Times New Roman" w:cs="Times New Roman" w:eastAsia="Times New Roman" w:hAnsi="Times New Roman"/>
          <w:sz w:val="15"/>
          <w:szCs w:val="15"/>
          <w:b w:val="1"/>
          <w:bCs w:val="1"/>
          <w:color w:val="auto"/>
        </w:rPr>
        <w:t>Road Show</w:t>
      </w:r>
      <w:r>
        <w:rPr>
          <w:rFonts w:ascii="Times New Roman" w:cs="Times New Roman" w:eastAsia="Times New Roman" w:hAnsi="Times New Roman"/>
          <w:sz w:val="15"/>
          <w:szCs w:val="15"/>
          <w:color w:val="auto"/>
        </w:rPr>
        <w:t>” means a “road show” (as defined in Rule 433 under the Securities Act) relating to the offering of the Offered Securities contemplated hereby that is a “written communication” (as defined in Rule 405 under the Securities Act). As used herein, “</w:t>
      </w:r>
      <w:r>
        <w:rPr>
          <w:rFonts w:ascii="Times New Roman" w:cs="Times New Roman" w:eastAsia="Times New Roman" w:hAnsi="Times New Roman"/>
          <w:sz w:val="15"/>
          <w:szCs w:val="15"/>
          <w:b w:val="1"/>
          <w:bCs w:val="1"/>
          <w:color w:val="auto"/>
        </w:rPr>
        <w:t>Section 5(d) Written Communication</w:t>
      </w:r>
      <w:r>
        <w:rPr>
          <w:rFonts w:ascii="Times New Roman" w:cs="Times New Roman" w:eastAsia="Times New Roman" w:hAnsi="Times New Roman"/>
          <w:sz w:val="15"/>
          <w:szCs w:val="15"/>
          <w:color w:val="auto"/>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Times New Roman" w:cs="Times New Roman" w:eastAsia="Times New Roman" w:hAnsi="Times New Roman"/>
          <w:sz w:val="15"/>
          <w:szCs w:val="15"/>
          <w:b w:val="1"/>
          <w:bCs w:val="1"/>
          <w:color w:val="auto"/>
        </w:rPr>
        <w:t>QIBs</w:t>
      </w:r>
      <w:r>
        <w:rPr>
          <w:rFonts w:ascii="Times New Roman" w:cs="Times New Roman" w:eastAsia="Times New Roman" w:hAnsi="Times New Roman"/>
          <w:sz w:val="15"/>
          <w:szCs w:val="15"/>
          <w:color w:val="auto"/>
        </w:rPr>
        <w:t>”) and/or institutions that are accredited investors (“</w:t>
      </w:r>
      <w:r>
        <w:rPr>
          <w:rFonts w:ascii="Times New Roman" w:cs="Times New Roman" w:eastAsia="Times New Roman" w:hAnsi="Times New Roman"/>
          <w:sz w:val="15"/>
          <w:szCs w:val="15"/>
          <w:b w:val="1"/>
          <w:bCs w:val="1"/>
          <w:color w:val="auto"/>
        </w:rPr>
        <w:t>IAIs</w:t>
      </w:r>
      <w:r>
        <w:rPr>
          <w:rFonts w:ascii="Times New Roman" w:cs="Times New Roman" w:eastAsia="Times New Roman" w:hAnsi="Times New Roman"/>
          <w:sz w:val="15"/>
          <w:szCs w:val="15"/>
          <w:color w:val="auto"/>
        </w:rPr>
        <w:t>”), as such terms are respectively defined in Rule 144A and Rule 501(a) under the Securities Act, to determine whether such investors might have an interest in the offering of the Offered Securities; “</w:t>
      </w:r>
      <w:r>
        <w:rPr>
          <w:rFonts w:ascii="Times New Roman" w:cs="Times New Roman" w:eastAsia="Times New Roman" w:hAnsi="Times New Roman"/>
          <w:sz w:val="15"/>
          <w:szCs w:val="15"/>
          <w:b w:val="1"/>
          <w:bCs w:val="1"/>
          <w:color w:val="auto"/>
        </w:rPr>
        <w:t>Section 5(d) Oral Communication</w:t>
      </w:r>
      <w:r>
        <w:rPr>
          <w:rFonts w:ascii="Times New Roman" w:cs="Times New Roman" w:eastAsia="Times New Roman" w:hAnsi="Times New Roman"/>
          <w:sz w:val="15"/>
          <w:szCs w:val="15"/>
          <w:color w:val="auto"/>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of the Offered Securities; “</w:t>
      </w:r>
      <w:r>
        <w:rPr>
          <w:rFonts w:ascii="Times New Roman" w:cs="Times New Roman" w:eastAsia="Times New Roman" w:hAnsi="Times New Roman"/>
          <w:sz w:val="15"/>
          <w:szCs w:val="15"/>
          <w:b w:val="1"/>
          <w:bCs w:val="1"/>
          <w:color w:val="auto"/>
        </w:rPr>
        <w:t>Marketing Materials</w:t>
      </w:r>
      <w:r>
        <w:rPr>
          <w:rFonts w:ascii="Times New Roman" w:cs="Times New Roman" w:eastAsia="Times New Roman" w:hAnsi="Times New Roman"/>
          <w:sz w:val="15"/>
          <w:szCs w:val="15"/>
          <w:color w:val="auto"/>
        </w:rPr>
        <w:t>” means any materials or information provided to investors by, or with the approval of, the Company in connection with the marketing of the offering of the Offered Securities, including any roadshow or investor presentations made to investors by the Company (whether in person or electronically); and “</w:t>
      </w:r>
      <w:r>
        <w:rPr>
          <w:rFonts w:ascii="Times New Roman" w:cs="Times New Roman" w:eastAsia="Times New Roman" w:hAnsi="Times New Roman"/>
          <w:sz w:val="15"/>
          <w:szCs w:val="15"/>
          <w:b w:val="1"/>
          <w:bCs w:val="1"/>
          <w:color w:val="auto"/>
        </w:rPr>
        <w:t>Permitted Section 5(d) Communication</w:t>
      </w:r>
      <w:r>
        <w:rPr>
          <w:rFonts w:ascii="Times New Roman" w:cs="Times New Roman" w:eastAsia="Times New Roman" w:hAnsi="Times New Roman"/>
          <w:sz w:val="15"/>
          <w:szCs w:val="15"/>
          <w:color w:val="auto"/>
        </w:rPr>
        <w:t xml:space="preserve">” means the Section 5(d) Written Communication(s) and Marketing Materials listed on </w:t>
      </w:r>
      <w:r>
        <w:rPr>
          <w:rFonts w:ascii="Times New Roman" w:cs="Times New Roman" w:eastAsia="Times New Roman" w:hAnsi="Times New Roman"/>
          <w:sz w:val="15"/>
          <w:szCs w:val="15"/>
          <w:u w:val="single" w:color="auto"/>
          <w:color w:val="auto"/>
        </w:rPr>
        <w:t>Schedule C</w:t>
      </w:r>
      <w:r>
        <w:rPr>
          <w:rFonts w:ascii="Times New Roman" w:cs="Times New Roman" w:eastAsia="Times New Roman" w:hAnsi="Times New Roman"/>
          <w:sz w:val="15"/>
          <w:szCs w:val="15"/>
          <w:color w:val="auto"/>
        </w:rPr>
        <w:t xml:space="preserve"> attached hereto.</w:t>
      </w:r>
    </w:p>
    <w:p>
      <w:pPr>
        <w:spacing w:after="0" w:line="183" w:lineRule="exact"/>
        <w:rPr>
          <w:sz w:val="20"/>
          <w:szCs w:val="20"/>
          <w:color w:val="auto"/>
        </w:rPr>
      </w:pPr>
    </w:p>
    <w:p>
      <w:pPr>
        <w:jc w:val="both"/>
        <w:ind w:left="10" w:firstLine="540"/>
        <w:spacing w:after="0" w:line="261" w:lineRule="auto"/>
        <w:rPr>
          <w:sz w:val="20"/>
          <w:szCs w:val="20"/>
          <w:color w:val="auto"/>
        </w:rPr>
      </w:pPr>
      <w:r>
        <w:rPr>
          <w:rFonts w:ascii="Times New Roman" w:cs="Times New Roman" w:eastAsia="Times New Roman" w:hAnsi="Times New Roman"/>
          <w:sz w:val="15"/>
          <w:szCs w:val="15"/>
          <w:color w:val="auto"/>
        </w:rPr>
        <w:t>In accordance with French legal and regulatory requirements, the Company has prepared and filed with the French Financial Markets Authority (</w:t>
      </w:r>
      <w:r>
        <w:rPr>
          <w:rFonts w:ascii="Times New Roman" w:cs="Times New Roman" w:eastAsia="Times New Roman" w:hAnsi="Times New Roman"/>
          <w:sz w:val="15"/>
          <w:szCs w:val="15"/>
          <w:i w:val="1"/>
          <w:iCs w:val="1"/>
          <w:color w:val="auto"/>
        </w:rPr>
        <w:t>Autorité des marchés financiers</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b w:val="1"/>
          <w:bCs w:val="1"/>
          <w:color w:val="auto"/>
        </w:rPr>
        <w:t>AMF</w:t>
      </w:r>
      <w:r>
        <w:rPr>
          <w:rFonts w:ascii="Times New Roman" w:cs="Times New Roman" w:eastAsia="Times New Roman" w:hAnsi="Times New Roman"/>
          <w:sz w:val="15"/>
          <w:szCs w:val="15"/>
          <w:color w:val="auto"/>
        </w:rPr>
        <w:t>”) a French-language universal registration document (</w:t>
      </w:r>
      <w:r>
        <w:rPr>
          <w:rFonts w:ascii="Times New Roman" w:cs="Times New Roman" w:eastAsia="Times New Roman" w:hAnsi="Times New Roman"/>
          <w:sz w:val="15"/>
          <w:szCs w:val="15"/>
          <w:i w:val="1"/>
          <w:iCs w:val="1"/>
          <w:color w:val="auto"/>
        </w:rPr>
        <w:t>Document d’Enregistrement Universel</w:t>
      </w:r>
      <w:r>
        <w:rPr>
          <w:rFonts w:ascii="Times New Roman" w:cs="Times New Roman" w:eastAsia="Times New Roman" w:hAnsi="Times New Roman"/>
          <w:sz w:val="15"/>
          <w:szCs w:val="15"/>
          <w:color w:val="auto"/>
        </w:rPr>
        <w:t>) under number D.26-0200 on March 31, 2026 (the “</w:t>
      </w:r>
      <w:r>
        <w:rPr>
          <w:rFonts w:ascii="Times New Roman" w:cs="Times New Roman" w:eastAsia="Times New Roman" w:hAnsi="Times New Roman"/>
          <w:sz w:val="15"/>
          <w:szCs w:val="15"/>
          <w:b w:val="1"/>
          <w:bCs w:val="1"/>
          <w:color w:val="auto"/>
        </w:rPr>
        <w:t>Universal Registration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Document</w:t>
      </w:r>
      <w:r>
        <w:rPr>
          <w:rFonts w:ascii="Times New Roman" w:cs="Times New Roman" w:eastAsia="Times New Roman" w:hAnsi="Times New Roman"/>
          <w:sz w:val="15"/>
          <w:szCs w:val="15"/>
          <w:color w:val="auto"/>
        </w:rPr>
        <w:t>”). The Company has also published press releases since (and including) March 31, 2026 and up to and including the date immediately before the date hereof (the “</w:t>
      </w:r>
      <w:r>
        <w:rPr>
          <w:rFonts w:ascii="Times New Roman" w:cs="Times New Roman" w:eastAsia="Times New Roman" w:hAnsi="Times New Roman"/>
          <w:sz w:val="15"/>
          <w:szCs w:val="15"/>
          <w:b w:val="1"/>
          <w:bCs w:val="1"/>
          <w:color w:val="auto"/>
        </w:rPr>
        <w:t>Corporate Press Releases</w:t>
      </w:r>
      <w:r>
        <w:rPr>
          <w:rFonts w:ascii="Times New Roman" w:cs="Times New Roman" w:eastAsia="Times New Roman" w:hAnsi="Times New Roman"/>
          <w:sz w:val="15"/>
          <w:szCs w:val="15"/>
          <w:color w:val="auto"/>
        </w:rPr>
        <w:t>”).</w:t>
      </w:r>
    </w:p>
    <w:p>
      <w:pPr>
        <w:spacing w:after="0" w:line="14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5"/>
          <w:szCs w:val="15"/>
          <w:color w:val="auto"/>
        </w:rPr>
        <w:t>The Company has also published (i) a launch press release on May 20, 2026 announcing the launch of the offering of the Offered Securities (the “</w:t>
      </w:r>
      <w:r>
        <w:rPr>
          <w:rFonts w:ascii="Times New Roman" w:cs="Times New Roman" w:eastAsia="Times New Roman" w:hAnsi="Times New Roman"/>
          <w:sz w:val="15"/>
          <w:szCs w:val="15"/>
          <w:b w:val="1"/>
          <w:bCs w:val="1"/>
          <w:color w:val="auto"/>
        </w:rPr>
        <w:t>Launch Press Release</w:t>
      </w:r>
      <w:r>
        <w:rPr>
          <w:rFonts w:ascii="Times New Roman" w:cs="Times New Roman" w:eastAsia="Times New Roman" w:hAnsi="Times New Roman"/>
          <w:sz w:val="15"/>
          <w:szCs w:val="15"/>
          <w:color w:val="auto"/>
        </w:rPr>
        <w:t>”), and</w:t>
      </w:r>
    </w:p>
    <w:p>
      <w:pPr>
        <w:spacing w:after="0" w:line="25" w:lineRule="exact"/>
        <w:rPr>
          <w:sz w:val="20"/>
          <w:szCs w:val="20"/>
          <w:color w:val="auto"/>
        </w:rPr>
      </w:pPr>
    </w:p>
    <w:p>
      <w:pPr>
        <w:ind w:left="10" w:right="20" w:hanging="10"/>
        <w:spacing w:after="0" w:line="261" w:lineRule="auto"/>
        <w:tabs>
          <w:tab w:leader="none" w:pos="244"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pricing press release on May 21, 2026 in French and in English (the “</w:t>
      </w:r>
      <w:r>
        <w:rPr>
          <w:rFonts w:ascii="Times New Roman" w:cs="Times New Roman" w:eastAsia="Times New Roman" w:hAnsi="Times New Roman"/>
          <w:sz w:val="15"/>
          <w:szCs w:val="15"/>
          <w:b w:val="1"/>
          <w:bCs w:val="1"/>
          <w:color w:val="auto"/>
        </w:rPr>
        <w:t>Pricing Press Release</w:t>
      </w:r>
      <w:r>
        <w:rPr>
          <w:rFonts w:ascii="Times New Roman" w:cs="Times New Roman" w:eastAsia="Times New Roman" w:hAnsi="Times New Roman"/>
          <w:sz w:val="15"/>
          <w:szCs w:val="15"/>
          <w:color w:val="auto"/>
        </w:rPr>
        <w:t>” and together with the Launch Press Release, the “</w:t>
      </w:r>
      <w:r>
        <w:rPr>
          <w:rFonts w:ascii="Times New Roman" w:cs="Times New Roman" w:eastAsia="Times New Roman" w:hAnsi="Times New Roman"/>
          <w:sz w:val="15"/>
          <w:szCs w:val="15"/>
          <w:b w:val="1"/>
          <w:bCs w:val="1"/>
          <w:color w:val="auto"/>
        </w:rPr>
        <w:t>Offering Press Releases</w:t>
      </w:r>
      <w:r>
        <w:rPr>
          <w:rFonts w:ascii="Times New Roman" w:cs="Times New Roman" w:eastAsia="Times New Roman" w:hAnsi="Times New Roman"/>
          <w:sz w:val="15"/>
          <w:szCs w:val="15"/>
          <w:color w:val="auto"/>
        </w:rPr>
        <w:t>”). The Universal Registration Document, the Corporate Press Releases and the Offering Press Releases are referred to together as, the “</w:t>
      </w:r>
      <w:r>
        <w:rPr>
          <w:rFonts w:ascii="Times New Roman" w:cs="Times New Roman" w:eastAsia="Times New Roman" w:hAnsi="Times New Roman"/>
          <w:sz w:val="15"/>
          <w:szCs w:val="15"/>
          <w:b w:val="1"/>
          <w:bCs w:val="1"/>
          <w:color w:val="auto"/>
        </w:rPr>
        <w:t>French Public Disclosure</w:t>
      </w:r>
      <w:r>
        <w:rPr>
          <w:rFonts w:ascii="Times New Roman" w:cs="Times New Roman" w:eastAsia="Times New Roman" w:hAnsi="Times New Roman"/>
          <w:sz w:val="15"/>
          <w:szCs w:val="15"/>
          <w:color w:val="auto"/>
        </w:rPr>
        <w:t>”.</w:t>
      </w:r>
    </w:p>
    <w:p>
      <w:pPr>
        <w:spacing w:after="0" w:line="29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5518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271" w:right="319" w:bottom="1440" w:gutter="0" w:footer="0" w:header="0"/>
        </w:sectPr>
      </w:pPr>
    </w:p>
    <w:bookmarkStart w:id="9" w:name="page10"/>
    <w:bookmarkEnd w:id="9"/>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Greenshoe Press Release</w:t>
      </w:r>
      <w:r>
        <w:rPr>
          <w:rFonts w:ascii="Times New Roman" w:cs="Times New Roman" w:eastAsia="Times New Roman" w:hAnsi="Times New Roman"/>
          <w:sz w:val="15"/>
          <w:szCs w:val="15"/>
          <w:color w:val="auto"/>
        </w:rPr>
        <w:t>” means the press release to be issued by the Company announcing the results of the offering if the overallotment option is exercised.</w:t>
      </w:r>
    </w:p>
    <w:p>
      <w:pPr>
        <w:spacing w:after="0" w:line="192"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15"/>
          <w:szCs w:val="15"/>
          <w:color w:val="auto"/>
        </w:rPr>
        <w:t>All references in this Agreement to the Registration Statement, the F-6 Registration Statement, the Preliminary Prospectus, any preliminary prospectus, the Base Prospectus and the Prospectus shall include the documents incorporated or deemed to be incorporated by reference therein, including such documents filed or furnished under the Securities Exchange Act of 1934, as amended, and the rules and regulations promulgated thereunder (collectively, the “</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identified therein as being so incorporated by reference. All references in this Agreement to financial statements and schedules and other information which are “contained,” “included” or “stated” in, or “part of” the Registration Statement, the Rule 462(b)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 All references in this Agreement to (i) the Registration Statement, the F-6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cs="Times New Roman" w:eastAsia="Times New Roman" w:hAnsi="Times New Roman"/>
          <w:sz w:val="15"/>
          <w:szCs w:val="15"/>
          <w:b w:val="1"/>
          <w:bCs w:val="1"/>
          <w:color w:val="auto"/>
        </w:rPr>
        <w:t>EDGAR</w:t>
      </w:r>
      <w:r>
        <w:rPr>
          <w:rFonts w:ascii="Times New Roman" w:cs="Times New Roman" w:eastAsia="Times New Roman" w:hAnsi="Times New Roman"/>
          <w:sz w:val="15"/>
          <w:szCs w:val="15"/>
          <w:color w:val="auto"/>
        </w:rPr>
        <w:t>”) and (ii) the Prospectus shall be deemed to include any “electronic Prospectus” provided for use in connection with the offering of the Offered Securities as contemplated by Section 3(m) of this Agreement.</w:t>
      </w:r>
    </w:p>
    <w:p>
      <w:pPr>
        <w:spacing w:after="0" w:line="1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 hereby confirms its agreement with the Underwriters as follows:</w:t>
      </w:r>
    </w:p>
    <w:p>
      <w:pPr>
        <w:spacing w:after="0" w:line="18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b w:val="1"/>
          <w:bCs w:val="1"/>
          <w:color w:val="auto"/>
        </w:rPr>
        <w:t xml:space="preserve">Section 1. Representations and Warranties of the Company. </w:t>
      </w:r>
      <w:r>
        <w:rPr>
          <w:rFonts w:ascii="Times New Roman" w:cs="Times New Roman" w:eastAsia="Times New Roman" w:hAnsi="Times New Roman"/>
          <w:sz w:val="15"/>
          <w:szCs w:val="15"/>
          <w:color w:val="auto"/>
        </w:rPr>
        <w:t>The Company hereby represents, warrants and covenants to each Underwriter, as of the date of this Agreement, as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First Closing Date (as hereinafter defined) and as of the Option Closing Date (as defined in Section 2), if any, as follows:</w:t>
      </w:r>
    </w:p>
    <w:p>
      <w:pPr>
        <w:spacing w:after="0" w:line="135" w:lineRule="exact"/>
        <w:rPr>
          <w:sz w:val="20"/>
          <w:szCs w:val="20"/>
          <w:color w:val="auto"/>
        </w:rPr>
      </w:pPr>
    </w:p>
    <w:p>
      <w:pPr>
        <w:jc w:val="both"/>
        <w:ind w:firstLine="530"/>
        <w:spacing w:after="0" w:line="253" w:lineRule="auto"/>
        <w:tabs>
          <w:tab w:leader="none" w:pos="1146" w:val="left"/>
        </w:tabs>
        <w:numPr>
          <w:ilvl w:val="0"/>
          <w:numId w:val="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Compliance with Registration Requirements</w:t>
      </w:r>
      <w:r>
        <w:rPr>
          <w:rFonts w:ascii="Times New Roman" w:cs="Times New Roman" w:eastAsia="Times New Roman" w:hAnsi="Times New Roman"/>
          <w:sz w:val="15"/>
          <w:szCs w:val="15"/>
          <w:color w:val="auto"/>
        </w:rPr>
        <w:t>. The Registration Statement and the F-6 Registration Statement have each become effective under the Securities Act. The Company has complied, to the Commission’s satisfaction, with all requests of the Commission for additional or supplemental information, if any. No stop order suspending the effectiveness of the Registration Statement or the F-6 Registration Statement is in effect and no proceedings for such purpose have been instituted or are pending or, to the knowledge of the Company, are contemplated or threatened by the Commission. At the time the Company’s Annual Report on Form 20-F for the year ended December 31, 2025 (the “</w:t>
      </w:r>
      <w:r>
        <w:rPr>
          <w:rFonts w:ascii="Times New Roman" w:cs="Times New Roman" w:eastAsia="Times New Roman" w:hAnsi="Times New Roman"/>
          <w:sz w:val="15"/>
          <w:szCs w:val="15"/>
          <w:b w:val="1"/>
          <w:bCs w:val="1"/>
          <w:color w:val="auto"/>
        </w:rPr>
        <w:t>Annual Report</w:t>
      </w:r>
      <w:r>
        <w:rPr>
          <w:rFonts w:ascii="Times New Roman" w:cs="Times New Roman" w:eastAsia="Times New Roman" w:hAnsi="Times New Roman"/>
          <w:sz w:val="15"/>
          <w:szCs w:val="15"/>
          <w:color w:val="auto"/>
        </w:rPr>
        <w:t>”) was filed with the Commission, or, if later, at the time the Registration Statement was originally filed with the Commission, the Company met the then-applicable requirements for use of Form F-3 under the Securities Act. The Company is a “foreign private issuer” within the meaning of Rule 405 under the Securities Act. The Company meets the requirements for use of Form F-3 under the Securities Act specified in FINRA Conduct Rule 5110(h)(1)(C).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 In connection with the filing of the Universal Registration Document, the Company has complied, to the AMF’s satisfaction, with all requests of the AMF for additional or supplemental information, if any, and, with respect to the Universal Registration Document, the Company’s auditors have submitted a letter of completion of work (</w:t>
      </w:r>
      <w:r>
        <w:rPr>
          <w:rFonts w:ascii="Times New Roman" w:cs="Times New Roman" w:eastAsia="Times New Roman" w:hAnsi="Times New Roman"/>
          <w:sz w:val="15"/>
          <w:szCs w:val="15"/>
          <w:i w:val="1"/>
          <w:iCs w:val="1"/>
          <w:color w:val="auto"/>
        </w:rPr>
        <w:t>lettre de fin de travaux</w:t>
      </w:r>
      <w:r>
        <w:rPr>
          <w:rFonts w:ascii="Times New Roman" w:cs="Times New Roman" w:eastAsia="Times New Roman" w:hAnsi="Times New Roman"/>
          <w:sz w:val="15"/>
          <w:szCs w:val="15"/>
          <w:color w:val="auto"/>
        </w:rPr>
        <w:t>) that showed no reservation, observation or warning. No order suspending the effectiveness of the Universal Registration Document has been issued by the AMF, nor has, to the Company’s knowledge, any challenge to the filing with the AMF or the use of the Universal Registration Document been filed with any court.</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0" w:name="page11"/>
    <w:bookmarkEnd w:id="10"/>
    <w:p>
      <w:pPr>
        <w:jc w:val="both"/>
        <w:ind w:firstLine="530"/>
        <w:spacing w:after="0" w:line="181" w:lineRule="exact"/>
        <w:tabs>
          <w:tab w:leader="none" w:pos="1144" w:val="left"/>
        </w:tabs>
        <w:numPr>
          <w:ilvl w:val="0"/>
          <w:numId w:val="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Disclosure</w:t>
      </w:r>
      <w:r>
        <w:rPr>
          <w:rFonts w:ascii="Times New Roman" w:cs="Times New Roman" w:eastAsia="Times New Roman" w:hAnsi="Times New Roman"/>
          <w:sz w:val="15"/>
          <w:szCs w:val="15"/>
          <w:color w:val="auto"/>
        </w:rPr>
        <w:t>. Each preliminary prospectus and the Prospectus when filed complied in all material respects with the Securities Act and, if filed by electronic transmission pursuant to EDGAR, was identical (except as may be permitted by Regulation 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T under the Securities Act) to the copy thereof delivered to the Underwriters for use in connection with the offer and sale of the Offered Securities. Each of the Registration Statement and any post-effective amendment thereto and the F-6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The French Public Disclosure, as of their respective dates, taken together, are true, complete and accurate in all material respects. The French Public Disclosure, taken together, contain and will contain the necessary information which is material to an investor for making an informed assessment of the assets and liabilities, profit and losses, financial position, and prospects of the Company and on the rights attached to the Ordinary Shares. The French Public Disclosure conformed, conform and will conform, as appropriate, with the requirements set forth by applicable laws, including AMF regulations and the Prospectus Regulation. As of the Applicable Time, the Time of Sale Prospectus (including any preliminary prospectus wrapper) did not, and as of the First Closing Date (as defined in Section 2) and as of the Option Closing Date (as defined in Section 2), as the case may be, will not, contain any untrue statement of a material fact or omit to state a material fact necessary to make the statements therein, in the light of the circumstances under which they were made, not misleading. The French Public Disclosure does not, and, as amended or supplemented, if applicable, will not, as of the date hereof, at the First Closing Date and the Option Closing Date, contain any untrue statement of a material fact, or taken together, omit to state a material fact necessary to make the statements therein, in the light of the circumstances under which they were made, not misleading. The Prospectus (including any Prospectus wrapper), as of its date, did not, and at the First Closing Date and at the Option Closing Date, if any, the Prospectus (including any Prospectus wrapper), will not, contain any untrue statement of a material fact or omit to state a material fact necessary in order to make the statements therein, in the light of the circumstances under which they were made, not misleading. The representations and warranties set forth in the six immediately preceding sentences do not apply to statements in or omissions from the Registration Statement or any post-effective amendment thereto, the F-6 Registration Statement or the French Public Disclosure, or any post-effective amendment thereto,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All notices, statements, opinions, estimates, statements of intent, projections made by the Company in the French Public Disclosure have been prepared in good faith and on reasonable grounds. There are no contracts or other documents required to be described in the Time of Sale Prospectus, the Prospectus or the French Public Disclosure or to be filed as an exhibit to the Registration Statement or the F-6 Registration Statement which have not been described or filed as required.</w:t>
      </w:r>
    </w:p>
    <w:p>
      <w:pPr>
        <w:spacing w:after="0" w:line="173" w:lineRule="exact"/>
        <w:rPr>
          <w:rFonts w:ascii="Times New Roman" w:cs="Times New Roman" w:eastAsia="Times New Roman" w:hAnsi="Times New Roman"/>
          <w:sz w:val="15"/>
          <w:szCs w:val="15"/>
          <w:b w:val="1"/>
          <w:bCs w:val="1"/>
          <w:color w:val="auto"/>
        </w:rPr>
      </w:pPr>
    </w:p>
    <w:p>
      <w:pPr>
        <w:jc w:val="both"/>
        <w:ind w:firstLine="598"/>
        <w:spacing w:after="0" w:line="253" w:lineRule="auto"/>
        <w:tabs>
          <w:tab w:leader="none" w:pos="1161" w:val="left"/>
        </w:tabs>
        <w:numPr>
          <w:ilvl w:val="1"/>
          <w:numId w:val="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Free Writing Prospectuses; Road Show</w:t>
      </w:r>
      <w:r>
        <w:rPr>
          <w:rFonts w:ascii="Times New Roman" w:cs="Times New Roman" w:eastAsia="Times New Roman" w:hAnsi="Times New Roman"/>
          <w:sz w:val="15"/>
          <w:szCs w:val="15"/>
          <w:color w:val="auto"/>
        </w:rPr>
        <w:t xml:space="preserve">. As of the determination date referenced in Rule 164(h) under the Securities Act, the Company was not, is not or will not be (as applicable) an “ineligible issuer” in connection with the offering of the Offered Securities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and legending, as applicable, and each such free writing prospectus, as of its issue date and at all subsequent times through the completion of the public offer and sale of the Offered Securities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Times New Roman" w:cs="Times New Roman" w:eastAsia="Times New Roman" w:hAnsi="Times New Roman"/>
          <w:sz w:val="15"/>
          <w:szCs w:val="15"/>
          <w:u w:val="single" w:color="auto"/>
          <w:color w:val="auto"/>
        </w:rPr>
        <w:t>Schedule B</w:t>
      </w:r>
      <w:r>
        <w:rPr>
          <w:rFonts w:ascii="Times New Roman" w:cs="Times New Roman" w:eastAsia="Times New Roman" w:hAnsi="Times New Roman"/>
          <w:sz w:val="15"/>
          <w:szCs w:val="15"/>
          <w:color w:val="auto"/>
        </w:rPr>
        <w:t>, and electronic road shows, if any, furnished to you before first use,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1" w:name="page12"/>
    <w:bookmarkEnd w:id="11"/>
    <w:p>
      <w:pPr>
        <w:jc w:val="both"/>
        <w:ind w:firstLine="598"/>
        <w:spacing w:after="0" w:line="257" w:lineRule="auto"/>
        <w:tabs>
          <w:tab w:leader="none" w:pos="1211" w:val="left"/>
        </w:tabs>
        <w:numPr>
          <w:ilvl w:val="1"/>
          <w:numId w:val="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Distribution of Offering Material by the Company</w:t>
      </w:r>
      <w:r>
        <w:rPr>
          <w:rFonts w:ascii="Times New Roman" w:cs="Times New Roman" w:eastAsia="Times New Roman" w:hAnsi="Times New Roman"/>
          <w:sz w:val="15"/>
          <w:szCs w:val="15"/>
          <w:color w:val="auto"/>
        </w:rPr>
        <w:t xml:space="preserve">. Prior to the later of (i) the expiration or termination of the option granted to the several Underwriters in Section 2, and (ii) the completion of the Underwriters’ distribution of the Offered Securities, the Company has not distributed and will not distribute any offering material in connection with the offering and sale of the Offered Securities other than the Registration Statement, the F-6 Registration Statement, the Time of Sale Prospectus, the Prospectus, the French Public Disclosure, the Greenshoe Press Release or any free writing prospectus reviewed and consented to by the Representatives, the free writing prospectuses, if any, identified on </w:t>
      </w:r>
      <w:r>
        <w:rPr>
          <w:rFonts w:ascii="Times New Roman" w:cs="Times New Roman" w:eastAsia="Times New Roman" w:hAnsi="Times New Roman"/>
          <w:sz w:val="15"/>
          <w:szCs w:val="15"/>
          <w:u w:val="single" w:color="auto"/>
          <w:color w:val="auto"/>
        </w:rPr>
        <w:t>Schedule B</w:t>
      </w:r>
      <w:r>
        <w:rPr>
          <w:rFonts w:ascii="Times New Roman" w:cs="Times New Roman" w:eastAsia="Times New Roman" w:hAnsi="Times New Roman"/>
          <w:sz w:val="15"/>
          <w:szCs w:val="15"/>
          <w:color w:val="auto"/>
        </w:rPr>
        <w:t xml:space="preserve"> hereto, any Permitted Section 5(d) Communications and any Road Show furnished to you before first use.</w:t>
      </w:r>
    </w:p>
    <w:p>
      <w:pPr>
        <w:spacing w:after="0" w:line="157" w:lineRule="exact"/>
        <w:rPr>
          <w:rFonts w:ascii="Times New Roman" w:cs="Times New Roman" w:eastAsia="Times New Roman" w:hAnsi="Times New Roman"/>
          <w:sz w:val="15"/>
          <w:szCs w:val="15"/>
          <w:b w:val="1"/>
          <w:bCs w:val="1"/>
          <w:color w:val="auto"/>
        </w:rPr>
      </w:pPr>
    </w:p>
    <w:p>
      <w:pPr>
        <w:ind w:left="1080" w:hanging="550"/>
        <w:spacing w:after="0"/>
        <w:tabs>
          <w:tab w:leader="none" w:pos="1080" w:val="left"/>
        </w:tabs>
        <w:numPr>
          <w:ilvl w:val="0"/>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The Underwriting Agreement</w:t>
      </w:r>
      <w:r>
        <w:rPr>
          <w:rFonts w:ascii="Times New Roman" w:cs="Times New Roman" w:eastAsia="Times New Roman" w:hAnsi="Times New Roman"/>
          <w:sz w:val="15"/>
          <w:szCs w:val="15"/>
          <w:color w:val="auto"/>
        </w:rPr>
        <w:t>. This Agreement has been duly authorized, executed and delivered by the Company.</w:t>
      </w:r>
    </w:p>
    <w:p>
      <w:pPr>
        <w:spacing w:after="0" w:line="187" w:lineRule="exact"/>
        <w:rPr>
          <w:rFonts w:ascii="Times New Roman" w:cs="Times New Roman" w:eastAsia="Times New Roman" w:hAnsi="Times New Roman"/>
          <w:sz w:val="15"/>
          <w:szCs w:val="15"/>
          <w:b w:val="1"/>
          <w:bCs w:val="1"/>
          <w:color w:val="auto"/>
        </w:rPr>
      </w:pPr>
    </w:p>
    <w:p>
      <w:pPr>
        <w:jc w:val="both"/>
        <w:ind w:firstLine="530"/>
        <w:spacing w:after="0" w:line="257" w:lineRule="auto"/>
        <w:tabs>
          <w:tab w:leader="none" w:pos="1099" w:val="left"/>
        </w:tabs>
        <w:numPr>
          <w:ilvl w:val="0"/>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Power and Capacity</w:t>
      </w:r>
      <w:r>
        <w:rPr>
          <w:rFonts w:ascii="Times New Roman" w:cs="Times New Roman" w:eastAsia="Times New Roman" w:hAnsi="Times New Roman"/>
          <w:sz w:val="15"/>
          <w:szCs w:val="15"/>
          <w:color w:val="auto"/>
        </w:rPr>
        <w:t>. The Company has full power and capacity to enter into this Agreement; the issuance of the Offered Securities and the Warrant Shares to be issued by the Company upon exercise of the Pre-Funded Warrants have been or will be validly authorized pursuant to the resolutions passed at the Company’s combined general shareholders’ meeting held on May 19, 2025 which has been properly convened, the decisions of the supervisory board (</w:t>
      </w:r>
      <w:r>
        <w:rPr>
          <w:rFonts w:ascii="Times New Roman" w:cs="Times New Roman" w:eastAsia="Times New Roman" w:hAnsi="Times New Roman"/>
          <w:sz w:val="15"/>
          <w:szCs w:val="15"/>
          <w:i w:val="1"/>
          <w:iCs w:val="1"/>
          <w:color w:val="auto"/>
        </w:rPr>
        <w:t>conseil de surveillance</w:t>
      </w:r>
      <w:r>
        <w:rPr>
          <w:rFonts w:ascii="Times New Roman" w:cs="Times New Roman" w:eastAsia="Times New Roman" w:hAnsi="Times New Roman"/>
          <w:sz w:val="15"/>
          <w:szCs w:val="15"/>
          <w:color w:val="auto"/>
        </w:rPr>
        <w:t>) dated May 20, 2026, the decisions of the executive board (</w:t>
      </w:r>
      <w:r>
        <w:rPr>
          <w:rFonts w:ascii="Times New Roman" w:cs="Times New Roman" w:eastAsia="Times New Roman" w:hAnsi="Times New Roman"/>
          <w:sz w:val="15"/>
          <w:szCs w:val="15"/>
          <w:i w:val="1"/>
          <w:iCs w:val="1"/>
          <w:color w:val="auto"/>
        </w:rPr>
        <w:t>directoire</w:t>
      </w:r>
      <w:r>
        <w:rPr>
          <w:rFonts w:ascii="Times New Roman" w:cs="Times New Roman" w:eastAsia="Times New Roman" w:hAnsi="Times New Roman"/>
          <w:sz w:val="15"/>
          <w:szCs w:val="15"/>
          <w:color w:val="auto"/>
        </w:rPr>
        <w:t>) dated May 20, 2026 and the appropriate decisions of the executive board (</w:t>
      </w:r>
      <w:r>
        <w:rPr>
          <w:rFonts w:ascii="Times New Roman" w:cs="Times New Roman" w:eastAsia="Times New Roman" w:hAnsi="Times New Roman"/>
          <w:sz w:val="15"/>
          <w:szCs w:val="15"/>
          <w:i w:val="1"/>
          <w:iCs w:val="1"/>
          <w:color w:val="auto"/>
        </w:rPr>
        <w:t>directoire</w:t>
      </w:r>
      <w:r>
        <w:rPr>
          <w:rFonts w:ascii="Times New Roman" w:cs="Times New Roman" w:eastAsia="Times New Roman" w:hAnsi="Times New Roman"/>
          <w:sz w:val="15"/>
          <w:szCs w:val="15"/>
          <w:color w:val="auto"/>
        </w:rPr>
        <w:t>) of the Company deciding to issue the Firm Securities, and all ceilings applicable to the authorizations passed at the above mentioned Company’s combined general shareholders’ meeting have been respected;</w:t>
      </w:r>
    </w:p>
    <w:p>
      <w:pPr>
        <w:spacing w:after="0" w:line="157" w:lineRule="exact"/>
        <w:rPr>
          <w:rFonts w:ascii="Times New Roman" w:cs="Times New Roman" w:eastAsia="Times New Roman" w:hAnsi="Times New Roman"/>
          <w:sz w:val="15"/>
          <w:szCs w:val="15"/>
          <w:b w:val="1"/>
          <w:bCs w:val="1"/>
          <w:color w:val="auto"/>
        </w:rPr>
      </w:pPr>
    </w:p>
    <w:p>
      <w:pPr>
        <w:jc w:val="both"/>
        <w:ind w:firstLine="530"/>
        <w:spacing w:after="0" w:line="241" w:lineRule="auto"/>
        <w:tabs>
          <w:tab w:leader="none" w:pos="1113" w:val="left"/>
        </w:tabs>
        <w:numPr>
          <w:ilvl w:val="0"/>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Authorization of the Offered Securities</w:t>
      </w:r>
      <w:r>
        <w:rPr>
          <w:rFonts w:ascii="Times New Roman" w:cs="Times New Roman" w:eastAsia="Times New Roman" w:hAnsi="Times New Roman"/>
          <w:sz w:val="15"/>
          <w:szCs w:val="15"/>
          <w:color w:val="auto"/>
        </w:rPr>
        <w:t>. The Offered Securities, when issued and delivered against payment therefor pursuant to this Agreement, and upon delivery of a depositary certificate (</w:t>
      </w:r>
      <w:r>
        <w:rPr>
          <w:rFonts w:ascii="Times New Roman" w:cs="Times New Roman" w:eastAsia="Times New Roman" w:hAnsi="Times New Roman"/>
          <w:sz w:val="15"/>
          <w:szCs w:val="15"/>
          <w:i w:val="1"/>
          <w:iCs w:val="1"/>
          <w:color w:val="auto"/>
        </w:rPr>
        <w:t>certificat du dépositaire</w:t>
      </w:r>
      <w:r>
        <w:rPr>
          <w:rFonts w:ascii="Times New Roman" w:cs="Times New Roman" w:eastAsia="Times New Roman" w:hAnsi="Times New Roman"/>
          <w:sz w:val="15"/>
          <w:szCs w:val="15"/>
          <w:color w:val="auto"/>
        </w:rPr>
        <w:t>) in accordance with Articles L. 225-146 with respect to the issuance of the Firm Shares, Warrant Shares and Underlying Shares and the 29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36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and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resolutions of the Company’s combined general shareholders’ meeting held on May 19, 2025, will be duly authorized, validly issued, fully paid and nonassessable, and will conform in all material respects to the descriptions thereof in the Registration Statement, the Time of Sale Prospectus, the Prospectus, the Offering Press Releases and the Greenshoe Press Release, as applicable; and the issuance and sale of the Offered Securities and Warrant Shares to be issued upon exercise of the Pre-Funded Warrants is not subject to any preemptive rights, rights of first refusal or other similar rights to subscribe for or purchase the Offered Securities or the Warrant Shares to be issued upon exercise of the Pre-Funded Warrants, which have not been duly excluded, waived or satisfied. The Underlying Shares and the Warrant Shares may be freely deposited by the Company with the Depositary or its nominee against issuance of ADRs evidencing the Offered ADSs, as contemplated by the Deposit Agreement. Upon the sale and delivery to the Underwriters of the Offered Securities, and payment therefor, the Underwriters will acquire good, marketable and valid title to such Offered Securities, free and clear of all pledges, liens, security interests, charges, claims or encumbrances and will be freely transferable and there are no restrictions on subsequent transfers of the Offered Securities and Warrant Shares to be issued upon exercise of the Pre-Funded Warrants under the applicable laws of France or the United States, except as described in the Registration Statement, the Time of Sale Prospectus, the Prospectus and the French Public Disclosure. The Pre-Funded Warrants have been duly authorized by the Company and, when executed and delivered by the Company pursuant to this Agreement, will be valid and binding obligations of the Company, enforceable against the Company in accordance with their terms. The Warrant Shares have been duly authorized. The Warrant Shares, when issued and delivered against payment therefor in accordance with the terms of the Pre-Funded Warrants, will be duly and validly issued and fully paid and will conform to the descriptions thereof contained in the Registration Statement, the Time of Sale Prospectus, the Prospectus and the French Public Disclosure.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2" w:name="page13"/>
    <w:bookmarkEnd w:id="12"/>
    <w:p>
      <w:pPr>
        <w:ind w:firstLine="530"/>
        <w:spacing w:after="0" w:line="280" w:lineRule="auto"/>
        <w:tabs>
          <w:tab w:leader="none" w:pos="1110" w:val="left"/>
        </w:tabs>
        <w:numPr>
          <w:ilvl w:val="0"/>
          <w:numId w:val="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Applicable Registration or Other Similar Rights</w:t>
      </w:r>
      <w:r>
        <w:rPr>
          <w:rFonts w:ascii="Times New Roman" w:cs="Times New Roman" w:eastAsia="Times New Roman" w:hAnsi="Times New Roman"/>
          <w:sz w:val="15"/>
          <w:szCs w:val="15"/>
          <w:color w:val="auto"/>
        </w:rPr>
        <w:t>. There are no persons with registration or other similar rights to have any equity or debt securities registered for sale under the Registration Statement or F-6 Registration Statement or included in the offering contemplated by this Agreement that have not validly waived such rights.</w:t>
      </w:r>
    </w:p>
    <w:p>
      <w:pPr>
        <w:spacing w:after="0" w:line="137" w:lineRule="exact"/>
        <w:rPr>
          <w:rFonts w:ascii="Times New Roman" w:cs="Times New Roman" w:eastAsia="Times New Roman" w:hAnsi="Times New Roman"/>
          <w:sz w:val="15"/>
          <w:szCs w:val="15"/>
          <w:b w:val="1"/>
          <w:bCs w:val="1"/>
          <w:color w:val="auto"/>
        </w:rPr>
      </w:pPr>
    </w:p>
    <w:p>
      <w:pPr>
        <w:jc w:val="both"/>
        <w:ind w:firstLine="530"/>
        <w:spacing w:after="0" w:line="253" w:lineRule="auto"/>
        <w:tabs>
          <w:tab w:leader="none" w:pos="1057" w:val="left"/>
        </w:tabs>
        <w:numPr>
          <w:ilvl w:val="0"/>
          <w:numId w:val="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Material Adverse Change</w:t>
      </w:r>
      <w:r>
        <w:rPr>
          <w:rFonts w:ascii="Times New Roman" w:cs="Times New Roman" w:eastAsia="Times New Roman" w:hAnsi="Times New Roman"/>
          <w:sz w:val="15"/>
          <w:szCs w:val="15"/>
          <w:color w:val="auto"/>
        </w:rPr>
        <w:t>. Except as otherwise disclosed in the Registration Statement, the Time of Sale Prospectus, the Prospectus and the French Public Disclosure, subsequent to the respective dates as of which information is given in the Registration Statement, the Time of Sale Prospectus, the Prospectus and the French Public Disclosure: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5"/>
          <w:szCs w:val="15"/>
          <w:b w:val="1"/>
          <w:bCs w:val="1"/>
          <w:color w:val="auto"/>
        </w:rPr>
        <w:t>Material Adverse Change</w:t>
      </w:r>
      <w:r>
        <w:rPr>
          <w:rFonts w:ascii="Times New Roman" w:cs="Times New Roman" w:eastAsia="Times New Roman" w:hAnsi="Times New Roman"/>
          <w:sz w:val="15"/>
          <w:szCs w:val="15"/>
          <w:color w:val="auto"/>
        </w:rPr>
        <w:t>”);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 (iii) there has not been any material decrease in the share capital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share capital, or any repurchase or redemption by the Company or any of its subsidiaries of any class of share capital.</w:t>
      </w:r>
    </w:p>
    <w:p>
      <w:pPr>
        <w:spacing w:after="0" w:line="159" w:lineRule="exact"/>
        <w:rPr>
          <w:rFonts w:ascii="Times New Roman" w:cs="Times New Roman" w:eastAsia="Times New Roman" w:hAnsi="Times New Roman"/>
          <w:sz w:val="15"/>
          <w:szCs w:val="15"/>
          <w:b w:val="1"/>
          <w:bCs w:val="1"/>
          <w:color w:val="auto"/>
        </w:rPr>
      </w:pPr>
    </w:p>
    <w:p>
      <w:pPr>
        <w:jc w:val="both"/>
        <w:ind w:firstLine="530"/>
        <w:spacing w:after="0" w:line="252" w:lineRule="auto"/>
        <w:tabs>
          <w:tab w:leader="none" w:pos="1245" w:val="left"/>
        </w:tabs>
        <w:numPr>
          <w:ilvl w:val="0"/>
          <w:numId w:val="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The Deposit Agreement; ADSs; Ordinary Shares</w:t>
      </w:r>
      <w:r>
        <w:rPr>
          <w:rFonts w:ascii="Times New Roman" w:cs="Times New Roman" w:eastAsia="Times New Roman" w:hAnsi="Times New Roman"/>
          <w:sz w:val="15"/>
          <w:szCs w:val="15"/>
          <w:color w:val="auto"/>
        </w:rPr>
        <w:t>. The Deposit Agreement has been duly authorized, executed and delivered by the Company and, assuming due authorization, execution and delivery by the Depositary, constitutes a valid and legally binding obligation of the Company, enforceable in accordance with its terms, except as the enforceability thereof may be limited by bankruptcy, insolvency, reorganization, moratorium or similar laws relating to or affecting creditors’ rights generally or by general equitable principles. Upon due issuance by the Depositary of the ADRs evidencing the Offered ADSs against the deposit of (i) the Underlying Shares and (ii) any ADSs against the deposit of Warrant Shares upon exercise of the Pre-Funded Warrants, in each case in respect thereof in accordance with the provisions of the Deposit Agreement and payment by the Underwriters for the Offered ADSs in accordance with this Agreement, such ADSs will be duly and validly issued and the persons in whose names such ADSs are registered will be entitled to the rights specified therein and in the Deposit Agreement. The (x) issuance and sale of the Offered ADSs by the Company and the deposit of the Underlying Shares with the Depositary and (y) the issuance of any ADSs upon exercise of the Pre-Funded Warrants and the deposit of the Warrant Shares with the Depositary in connection therewith, in each case together with the issuance of the ADRs evidencing the Offered ADSs as contemplated by this Agreement and the Deposit Agreement will neither (i) cause any holder of any Ordinary Shares or ADSs, securities convertible into or exchangeable or exercisable for Ordinary Shares or ADSs or options, warrants or other rights to purchase Ordinary Shares or ADSs or any other securities of the Company to have any right to acquire any shares of preferred stock of the Company nor (ii) trigger any anti-dilution rights of any such holder with respect to such Underlying Shares, ADSs, securities, options, warrants or rights. The Deposit Agreement and the ADRs conform in all material respects to each description thereof in the Time of Sale Prospectus. The Ordinary Shares conform in all material respects to the description thereof in the French Public Disclosure. Each holder of ADSs issued pursuant to the Deposit Agreement shall be entitled, subject to the Deposit Agreement, to seek enforcement of its rights through the Depositary or its nominee registered as a representative of the holders of the ADSs in a direct suit, action or proceeding against the Company.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3" w:name="page14"/>
    <w:bookmarkEnd w:id="13"/>
    <w:p>
      <w:pPr>
        <w:jc w:val="both"/>
        <w:ind w:left="10" w:firstLine="530"/>
        <w:spacing w:after="0" w:line="252" w:lineRule="auto"/>
        <w:tabs>
          <w:tab w:leader="none" w:pos="1210" w:val="left"/>
        </w:tabs>
        <w:numPr>
          <w:ilvl w:val="1"/>
          <w:numId w:val="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Independent Accountants</w:t>
      </w:r>
      <w:r>
        <w:rPr>
          <w:rFonts w:ascii="Times New Roman" w:cs="Times New Roman" w:eastAsia="Times New Roman" w:hAnsi="Times New Roman"/>
          <w:sz w:val="15"/>
          <w:szCs w:val="15"/>
          <w:color w:val="auto"/>
        </w:rPr>
        <w:t>. Ernst &amp; Young et Autres, which has expressed its opinion with respect to the financial statements (which term as used in this Agreement includes the related notes thereto) for the year ended December 31, 2023, filed with the Commission and incorporated by reference into the Registration Statement, the Time of Sale Prospectus, and the Prospectus is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5"/>
          <w:szCs w:val="15"/>
          <w:b w:val="1"/>
          <w:bCs w:val="1"/>
          <w:color w:val="auto"/>
        </w:rPr>
        <w:t>PCAOB</w:t>
      </w:r>
      <w:r>
        <w:rPr>
          <w:rFonts w:ascii="Times New Roman" w:cs="Times New Roman" w:eastAsia="Times New Roman" w:hAnsi="Times New Roman"/>
          <w:sz w:val="15"/>
          <w:szCs w:val="15"/>
          <w:color w:val="auto"/>
        </w:rPr>
        <w:t>”), (ii) in compliance with the applicable requirements relating to the qualification of accountants under Rule 2-01 of Regulation S-X under the Securities Act and (iii) a registered public accounting firm as defined by the PCAOB whose registration, to the Company’s knowledge, has not been suspended or revoked and who, to the Company’s knowledge, has not requested such registration to be withdrawn. KPMG SA, which has expressed its opinion with respect to the financial statements (which term as used in this Agreement includes the related notes thereto) as of and for the years ended December 31, 2024 and 2025, filed with the Commission and incorporated by reference into the Registration Statement, the Time of Sale Prospectus, and the Prospectus is (i) an independent registered public accounting firm as required by the Securities Act, the Exchange Act, and the rules of the PCAOB, (ii) in compliance with the applicable requirements relating to the qualification of accountants under Rule 2-01 of Regulation S-X under the Securities Act and</w:t>
      </w:r>
    </w:p>
    <w:p>
      <w:pPr>
        <w:spacing w:after="0" w:line="4" w:lineRule="exact"/>
        <w:rPr>
          <w:rFonts w:ascii="Times New Roman" w:cs="Times New Roman" w:eastAsia="Times New Roman" w:hAnsi="Times New Roman"/>
          <w:sz w:val="15"/>
          <w:szCs w:val="15"/>
          <w:b w:val="1"/>
          <w:bCs w:val="1"/>
          <w:color w:val="auto"/>
        </w:rPr>
      </w:pPr>
    </w:p>
    <w:p>
      <w:pPr>
        <w:jc w:val="both"/>
        <w:ind w:left="10" w:hanging="10"/>
        <w:spacing w:after="0" w:line="252" w:lineRule="auto"/>
        <w:tabs>
          <w:tab w:leader="none" w:pos="29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registered public accounting firm as defined by the PCAOB whose registration, to the Company’s knowledge, has not been suspended or revoked and who, to the Company’s knowledge, has not requested such registration to be withdrawn. Grant Thornton and Ernst &amp; Young et Autres, who have certified the financial statements of the Company as of and for the year ended December 31, 2023 are independent statutory auditors with respect to the Company as required by the AMF General Regulations and under the professional rules of the “</w:t>
      </w:r>
      <w:r>
        <w:rPr>
          <w:rFonts w:ascii="Times New Roman" w:cs="Times New Roman" w:eastAsia="Times New Roman" w:hAnsi="Times New Roman"/>
          <w:sz w:val="15"/>
          <w:szCs w:val="15"/>
          <w:i w:val="1"/>
          <w:iCs w:val="1"/>
          <w:color w:val="auto"/>
        </w:rPr>
        <w:t>Compagnie Nationale des Commissaires aux Comptes</w:t>
      </w:r>
      <w:r>
        <w:rPr>
          <w:rFonts w:ascii="Times New Roman" w:cs="Times New Roman" w:eastAsia="Times New Roman" w:hAnsi="Times New Roman"/>
          <w:sz w:val="15"/>
          <w:szCs w:val="15"/>
          <w:color w:val="auto"/>
        </w:rPr>
        <w:t xml:space="preserve">”. Grant Thornton and KPMG SA, who have certified the financial statements of the Company as of and for the year ended December 31, 2025 included directly in the Universal Registration Document and for the year ended December 31, 2024 incorporated by reference and have delivered a </w:t>
      </w:r>
      <w:r>
        <w:rPr>
          <w:rFonts w:ascii="Times New Roman" w:cs="Times New Roman" w:eastAsia="Times New Roman" w:hAnsi="Times New Roman"/>
          <w:sz w:val="15"/>
          <w:szCs w:val="15"/>
          <w:i w:val="1"/>
          <w:iCs w:val="1"/>
          <w:color w:val="auto"/>
        </w:rPr>
        <w:t>lettre de fin de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travaux </w:t>
      </w:r>
      <w:r>
        <w:rPr>
          <w:rFonts w:ascii="Times New Roman" w:cs="Times New Roman" w:eastAsia="Times New Roman" w:hAnsi="Times New Roman"/>
          <w:sz w:val="15"/>
          <w:szCs w:val="15"/>
          <w:color w:val="auto"/>
        </w:rPr>
        <w:t>with respect to the Universal Registration Document, are independent statutory auditors with respect to the Company as required by the AMF General Regulations and under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professional rules of the “</w:t>
      </w:r>
      <w:r>
        <w:rPr>
          <w:rFonts w:ascii="Times New Roman" w:cs="Times New Roman" w:eastAsia="Times New Roman" w:hAnsi="Times New Roman"/>
          <w:sz w:val="15"/>
          <w:szCs w:val="15"/>
          <w:i w:val="1"/>
          <w:iCs w:val="1"/>
          <w:color w:val="auto"/>
        </w:rPr>
        <w:t>Compagnie Nationale des Commissaires aux Comptes</w:t>
      </w:r>
      <w:r>
        <w:rPr>
          <w:rFonts w:ascii="Times New Roman" w:cs="Times New Roman" w:eastAsia="Times New Roman" w:hAnsi="Times New Roman"/>
          <w:sz w:val="15"/>
          <w:szCs w:val="15"/>
          <w:color w:val="auto"/>
        </w:rPr>
        <w:t>.”</w:t>
      </w:r>
    </w:p>
    <w:p>
      <w:pPr>
        <w:spacing w:after="0" w:line="159" w:lineRule="exact"/>
        <w:rPr>
          <w:rFonts w:ascii="Times New Roman" w:cs="Times New Roman" w:eastAsia="Times New Roman" w:hAnsi="Times New Roman"/>
          <w:sz w:val="15"/>
          <w:szCs w:val="15"/>
          <w:color w:val="auto"/>
        </w:rPr>
      </w:pPr>
    </w:p>
    <w:p>
      <w:pPr>
        <w:jc w:val="both"/>
        <w:ind w:left="10" w:firstLine="530"/>
        <w:spacing w:after="0" w:line="252" w:lineRule="auto"/>
        <w:tabs>
          <w:tab w:leader="none" w:pos="1078" w:val="left"/>
        </w:tabs>
        <w:numPr>
          <w:ilvl w:val="1"/>
          <w:numId w:val="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Financial Statements</w:t>
      </w:r>
      <w:r>
        <w:rPr>
          <w:rFonts w:ascii="Times New Roman" w:cs="Times New Roman" w:eastAsia="Times New Roman" w:hAnsi="Times New Roman"/>
          <w:sz w:val="15"/>
          <w:szCs w:val="15"/>
          <w:color w:val="auto"/>
        </w:rPr>
        <w:t>. The financial statements filed with the Commission as a part of the Registration Statement, the Time of Sale Prospectus and the Prospectus present fairly, in all material respects, the consolidated financial position of the Company and its subsidiaries as of the dates indicated and the results of their operations, changes in shareholders’ equity and cash flows for the periods specified. Such financial statements have been prepared in conformity with International Financial Reporting Standards as adopted by the European Union and IFRS® Accounting Standards as issued by the International Accounting Standard Board (the “</w:t>
      </w:r>
      <w:r>
        <w:rPr>
          <w:rFonts w:ascii="Times New Roman" w:cs="Times New Roman" w:eastAsia="Times New Roman" w:hAnsi="Times New Roman"/>
          <w:sz w:val="15"/>
          <w:szCs w:val="15"/>
          <w:b w:val="1"/>
          <w:bCs w:val="1"/>
          <w:color w:val="auto"/>
        </w:rPr>
        <w:t>IASB</w:t>
      </w:r>
      <w:r>
        <w:rPr>
          <w:rFonts w:ascii="Times New Roman" w:cs="Times New Roman" w:eastAsia="Times New Roman" w:hAnsi="Times New Roman"/>
          <w:sz w:val="15"/>
          <w:szCs w:val="15"/>
          <w:color w:val="auto"/>
        </w:rPr>
        <w:t>”) applied on a consistent basis throughout the periods involved, except as may be expressly stated in the related notes thereto or as otherwise disclosed therein. The financial statements included directly or incorporated by reference in the Universal Registration Document present fairly, in all material respects, the consolidated financial position of the Company and its subsidiaries as of the dates indicated and the results of their operations, changes in shareholders’ equity and cash flows for the periods specified. Such financial statements as of and for the years ended December 31, 2025, 2024 and 2023 are in accordance with IFRS within the meaning of EC Regulation No. 1606/2002 of the European Parliament and of the council of 19 July 2002 as adopted from time to time by the European Commission in accordance with that Regulation and its interpretations promulgated by the IASB applied on a consistent basis throughout the periods involved (except as noted therein). No other financial statements or supporting schedules are required under applicable law to be included in or incorporated by reference into the Registration Statement, the Time of Sale Prospectus or the Prospectus. The interactive data in eXtensible Business Reporting Language included or incorporated by reference into the Registration Statement fairly presents the information called for in all material respects and has been prepared in all material respects in accordance with the Commission’s rules and guidelines applicable thereto. The financial data set forth or incorporated by reference in each of the Registration Statement, the Time of Sale Prospectus and the Prospectus under the caption “Capitalization” fairly present, in all material respects, the information set forth therein on a basis consistent with that of the audited financial statements contained or incorporated by reference in the Registration Statement, the Time of Sale Prospectus and the Prospectus. All disclosures contained or incorporated by reference in the Registration Statement, any preliminary prospectus, the Prospectus and any free writing prospectus that constitute non-GAAP financial measures (as defined by the rules and regulations under the Securities Act and the Exchange Act) comply in all material respects with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or other financial data filed with the Commission and included in, or incorporated by reference into, the Registration Statement, the Time of Sale Prospectus and the Prospectus.</w:t>
      </w:r>
    </w:p>
    <w:p>
      <w:pPr>
        <w:spacing w:after="0" w:line="30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5518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5" w:right="319" w:bottom="1440" w:gutter="0" w:footer="0" w:header="0"/>
        </w:sectPr>
      </w:pPr>
    </w:p>
    <w:bookmarkStart w:id="14" w:name="page15"/>
    <w:bookmarkEnd w:id="14"/>
    <w:p>
      <w:pPr>
        <w:jc w:val="both"/>
        <w:ind w:firstLine="530"/>
        <w:spacing w:after="0" w:line="255" w:lineRule="auto"/>
        <w:tabs>
          <w:tab w:leader="none" w:pos="1208" w:val="left"/>
        </w:tabs>
        <w:numPr>
          <w:ilvl w:val="0"/>
          <w:numId w:val="1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Company’s Accounting System</w:t>
      </w:r>
      <w:r>
        <w:rPr>
          <w:rFonts w:ascii="Times New Roman" w:cs="Times New Roman" w:eastAsia="Times New Roman" w:hAnsi="Times New Roman"/>
          <w:sz w:val="15"/>
          <w:szCs w:val="15"/>
          <w:color w:val="auto"/>
        </w:rPr>
        <w:t>. The Company and each of its subsidiaries make and keep accurate books and records and maintains a system of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IFRS Accounting Standards as issued by IASB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into the Registration Statement, the Time of Sale Prospectus, and the Prospectus fairly presents the information called for in all material respects and is prepared in all material respects in accordance with the Commission’s rules and guidelines applicable thereto.</w:t>
      </w:r>
    </w:p>
    <w:p>
      <w:pPr>
        <w:spacing w:after="0" w:line="157" w:lineRule="exact"/>
        <w:rPr>
          <w:rFonts w:ascii="Times New Roman" w:cs="Times New Roman" w:eastAsia="Times New Roman" w:hAnsi="Times New Roman"/>
          <w:sz w:val="15"/>
          <w:szCs w:val="15"/>
          <w:b w:val="1"/>
          <w:bCs w:val="1"/>
          <w:color w:val="auto"/>
        </w:rPr>
      </w:pPr>
    </w:p>
    <w:p>
      <w:pPr>
        <w:jc w:val="both"/>
        <w:ind w:firstLine="530"/>
        <w:spacing w:after="0" w:line="253" w:lineRule="auto"/>
        <w:tabs>
          <w:tab w:leader="none" w:pos="1155" w:val="left"/>
        </w:tabs>
        <w:numPr>
          <w:ilvl w:val="0"/>
          <w:numId w:val="1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Disclosure Controls and Procedures; Deficiencies in or Changes to Internal Control Over Financial Reporting</w:t>
      </w:r>
      <w:r>
        <w:rPr>
          <w:rFonts w:ascii="Times New Roman" w:cs="Times New Roman" w:eastAsia="Times New Roman" w:hAnsi="Times New Roman"/>
          <w:sz w:val="15"/>
          <w:szCs w:val="15"/>
          <w:color w:val="auto"/>
        </w:rPr>
        <w:t>. The Company has established and maintains disclosure controls and procedures (as defined in Rules 13a-15 and 15d-15 under the Exchange Act), which (i) are designed to ensure that information relating to the Company, including its consolidated subsidiaries, required to be disclosed by the Company in reports that it files under the Exchange Act, is made known to the Company’s principal executive officer and its principal financial officer by others within those entities, as appropriate to allow timely decisions regarding required disclosure, particularly during the periods in which the periodic reports required under the Exchange Act are being prepared, (ii) have been evaluated by management of the Company for effectiveness as of the end of the Company’s most recent fiscal year end, and (iii) are effective in all material respects to perform the functions for which they were established. Except as otherwise disclosed in the Registration Statement, the Time of Sale Prospectus, the Prospectus and the French Public Disclosure, since the end of the Company’s most recent audited fiscal year, there have been no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60" w:lineRule="exact"/>
        <w:rPr>
          <w:rFonts w:ascii="Times New Roman" w:cs="Times New Roman" w:eastAsia="Times New Roman" w:hAnsi="Times New Roman"/>
          <w:sz w:val="15"/>
          <w:szCs w:val="15"/>
          <w:b w:val="1"/>
          <w:bCs w:val="1"/>
          <w:color w:val="auto"/>
        </w:rPr>
      </w:pPr>
    </w:p>
    <w:p>
      <w:pPr>
        <w:jc w:val="both"/>
        <w:ind w:firstLine="530"/>
        <w:spacing w:after="0" w:line="253" w:lineRule="auto"/>
        <w:tabs>
          <w:tab w:leader="none" w:pos="1113" w:val="left"/>
        </w:tabs>
        <w:numPr>
          <w:ilvl w:val="0"/>
          <w:numId w:val="1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Incorporation and Power of the Company</w:t>
      </w:r>
      <w:r>
        <w:rPr>
          <w:rFonts w:ascii="Times New Roman" w:cs="Times New Roman" w:eastAsia="Times New Roman" w:hAnsi="Times New Roman"/>
          <w:sz w:val="15"/>
          <w:szCs w:val="15"/>
          <w:color w:val="auto"/>
        </w:rPr>
        <w:t xml:space="preserve">. The Company is duly constituted and is validly existing as a </w:t>
      </w:r>
      <w:r>
        <w:rPr>
          <w:rFonts w:ascii="Times New Roman" w:cs="Times New Roman" w:eastAsia="Times New Roman" w:hAnsi="Times New Roman"/>
          <w:sz w:val="15"/>
          <w:szCs w:val="15"/>
          <w:i w:val="1"/>
          <w:iCs w:val="1"/>
          <w:color w:val="auto"/>
        </w:rPr>
        <w:t>société anonyme</w:t>
      </w:r>
      <w:r>
        <w:rPr>
          <w:rFonts w:ascii="Times New Roman" w:cs="Times New Roman" w:eastAsia="Times New Roman" w:hAnsi="Times New Roman"/>
          <w:sz w:val="15"/>
          <w:szCs w:val="15"/>
          <w:color w:val="auto"/>
        </w:rPr>
        <w:t xml:space="preserve"> under the laws of France and has the corporate power and authority to own, lease and operate its properties and to conduct its business as described in the Registration Statement, the Time of Sale Prospectus, the Prospectus and the French Public Disclosure and to enter into and perform its obligations under this Agreement. The Company is duly qualified as a foreign corporation to transact business and is in good standing (where such concept exists) in each other jurisdiction in which such qualification is required, whether by reason of the ownership or leasing of property or the conduct of business, except where the failure to so qualify or to be in good standing outside of France would not reasonably be expected, individually or in the aggregate, to have a material adverse effect on the condition (financial or otherwise), earnings, business, properties, operations, assets or liabilities of the Company and its subsidiaries, considered as one entity or on the performance by the Company of its obligations under this Agreement and the Deposit Agreement (a “</w:t>
      </w:r>
      <w:r>
        <w:rPr>
          <w:rFonts w:ascii="Times New Roman" w:cs="Times New Roman" w:eastAsia="Times New Roman" w:hAnsi="Times New Roman"/>
          <w:sz w:val="15"/>
          <w:szCs w:val="15"/>
          <w:b w:val="1"/>
          <w:bCs w:val="1"/>
          <w:color w:val="auto"/>
        </w:rPr>
        <w:t>Material Adverse Effect</w:t>
      </w:r>
      <w:r>
        <w:rPr>
          <w:rFonts w:ascii="Times New Roman" w:cs="Times New Roman" w:eastAsia="Times New Roman" w:hAnsi="Times New Roman"/>
          <w:sz w:val="15"/>
          <w:szCs w:val="15"/>
          <w:color w:val="auto"/>
        </w:rPr>
        <w:t xml:space="preserve">”). No proceeding of </w:t>
      </w:r>
      <w:r>
        <w:rPr>
          <w:rFonts w:ascii="Times New Roman" w:cs="Times New Roman" w:eastAsia="Times New Roman" w:hAnsi="Times New Roman"/>
          <w:sz w:val="15"/>
          <w:szCs w:val="15"/>
          <w:i w:val="1"/>
          <w:iCs w:val="1"/>
          <w:color w:val="auto"/>
        </w:rPr>
        <w:t>mandat ad hoc, conciliation,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sauvegarde (</w:t>
      </w:r>
      <w:r>
        <w:rPr>
          <w:rFonts w:ascii="Times New Roman" w:cs="Times New Roman" w:eastAsia="Times New Roman" w:hAnsi="Times New Roman"/>
          <w:sz w:val="15"/>
          <w:szCs w:val="15"/>
          <w:color w:val="auto"/>
        </w:rPr>
        <w:t>including</w:t>
      </w:r>
      <w:r>
        <w:rPr>
          <w:rFonts w:ascii="Times New Roman" w:cs="Times New Roman" w:eastAsia="Times New Roman" w:hAnsi="Times New Roman"/>
          <w:sz w:val="15"/>
          <w:szCs w:val="15"/>
          <w:i w:val="1"/>
          <w:iCs w:val="1"/>
          <w:color w:val="auto"/>
        </w:rPr>
        <w:t xml:space="preserve"> sauvegarde accélérée), redressement judiciaire or liquidation judiciaire </w:t>
      </w:r>
      <w:r>
        <w:rPr>
          <w:rFonts w:ascii="Times New Roman" w:cs="Times New Roman" w:eastAsia="Times New Roman" w:hAnsi="Times New Roman"/>
          <w:sz w:val="15"/>
          <w:szCs w:val="15"/>
          <w:color w:val="auto"/>
        </w:rPr>
        <w:t>is existing with respect to the Company and the Company is not insolvent. The by-laws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statuts</w:t>
      </w:r>
      <w:r>
        <w:rPr>
          <w:rFonts w:ascii="Times New Roman" w:cs="Times New Roman" w:eastAsia="Times New Roman" w:hAnsi="Times New Roman"/>
          <w:sz w:val="15"/>
          <w:szCs w:val="15"/>
          <w:color w:val="auto"/>
        </w:rPr>
        <w:t>) of the Company comply with the requirements of applicable French law and are in full force and effect in all material respects. Each member of the corporate bodies of the Company has been duly elected or appointed in such capacity and exercises his or her functions in accordance with applicable laws and regulations and the Company’s by-laws and internal regulations.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5" w:name="page16"/>
    <w:bookmarkEnd w:id="15"/>
    <w:p>
      <w:pPr>
        <w:jc w:val="both"/>
        <w:ind w:firstLine="530"/>
        <w:spacing w:after="0" w:line="252" w:lineRule="auto"/>
        <w:tabs>
          <w:tab w:leader="none" w:pos="1200" w:val="left"/>
        </w:tabs>
        <w:numPr>
          <w:ilvl w:val="0"/>
          <w:numId w:val="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Subsidiaries</w:t>
      </w:r>
      <w:r>
        <w:rPr>
          <w:rFonts w:ascii="Times New Roman" w:cs="Times New Roman" w:eastAsia="Times New Roman" w:hAnsi="Times New Roman"/>
          <w:sz w:val="15"/>
          <w:szCs w:val="15"/>
          <w:color w:val="auto"/>
        </w:rPr>
        <w:t xml:space="preserve">.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(where such concept exists) under the laws of the jurisdiction of its incorporation or organization and has the power and authority (corporate or other) to own, lease and operate its properties and to conduct its business as described in the Registration Statement, the Time of Sale Prospectus, the Prospectus and the French Public Disclosure. Each of the Company’s subsidiaries is duly qualified as a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so qualify or to be in good standing would not reasonably be expected, individually or in the aggregate, to have a Material Adverse Effect. All of the issued and outstanding share capital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share capital or equity interest in any subsidiary was issued in violation of preemptive or similar rights of any security holder of such subsidiary. No proceeding of </w:t>
      </w:r>
      <w:r>
        <w:rPr>
          <w:rFonts w:ascii="Times New Roman" w:cs="Times New Roman" w:eastAsia="Times New Roman" w:hAnsi="Times New Roman"/>
          <w:sz w:val="15"/>
          <w:szCs w:val="15"/>
          <w:i w:val="1"/>
          <w:iCs w:val="1"/>
          <w:color w:val="auto"/>
        </w:rPr>
        <w:t>mandat ad hoc, conciliation, sauvegarde</w:t>
      </w:r>
      <w:r>
        <w:rPr>
          <w:rFonts w:ascii="Times New Roman" w:cs="Times New Roman" w:eastAsia="Times New Roman" w:hAnsi="Times New Roman"/>
          <w:sz w:val="15"/>
          <w:szCs w:val="15"/>
          <w:color w:val="auto"/>
        </w:rPr>
        <w:t xml:space="preserve"> (including </w:t>
      </w:r>
      <w:r>
        <w:rPr>
          <w:rFonts w:ascii="Times New Roman" w:cs="Times New Roman" w:eastAsia="Times New Roman" w:hAnsi="Times New Roman"/>
          <w:sz w:val="15"/>
          <w:szCs w:val="15"/>
          <w:i w:val="1"/>
          <w:iCs w:val="1"/>
          <w:color w:val="auto"/>
        </w:rPr>
        <w:t>sauvegarde accélérée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redressement judiciaire or liquidation judiciaire</w:t>
      </w:r>
      <w:r>
        <w:rPr>
          <w:rFonts w:ascii="Times New Roman" w:cs="Times New Roman" w:eastAsia="Times New Roman" w:hAnsi="Times New Roman"/>
          <w:sz w:val="15"/>
          <w:szCs w:val="15"/>
          <w:color w:val="auto"/>
        </w:rPr>
        <w:t xml:space="preserve"> is existing with respect to any of the Company’s subsidiaries and each of the Company’s subsidiaries is not insolvent. The constitutive or organizational documents of each of the subsidiaries comply with the requirements of applicable laws of its jurisdiction of incorporation or organization and are in full force and effect, except as would not reasonably be expected, individually or in the aggregate, to have a Material Adverse Effect. The Company does not own or control, directly or indirectly, any corporation, association or other entity other than the subsidiaries listed in or included as an exhibit to the Registration Statement and the French Public Disclosure.</w:t>
      </w:r>
    </w:p>
    <w:p>
      <w:pPr>
        <w:spacing w:after="0" w:line="165" w:lineRule="exact"/>
        <w:rPr>
          <w:rFonts w:ascii="Times New Roman" w:cs="Times New Roman" w:eastAsia="Times New Roman" w:hAnsi="Times New Roman"/>
          <w:sz w:val="15"/>
          <w:szCs w:val="15"/>
          <w:b w:val="1"/>
          <w:bCs w:val="1"/>
          <w:color w:val="auto"/>
        </w:rPr>
      </w:pPr>
    </w:p>
    <w:p>
      <w:pPr>
        <w:jc w:val="both"/>
        <w:ind w:firstLine="530"/>
        <w:spacing w:after="0" w:line="252" w:lineRule="auto"/>
        <w:tabs>
          <w:tab w:leader="none" w:pos="1166" w:val="left"/>
        </w:tabs>
        <w:numPr>
          <w:ilvl w:val="0"/>
          <w:numId w:val="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Capitalization and Other Share Capital Matters</w:t>
      </w:r>
      <w:r>
        <w:rPr>
          <w:rFonts w:ascii="Times New Roman" w:cs="Times New Roman" w:eastAsia="Times New Roman" w:hAnsi="Times New Roman"/>
          <w:sz w:val="15"/>
          <w:szCs w:val="15"/>
          <w:color w:val="auto"/>
        </w:rPr>
        <w:t>. The authorized, issued and outstanding share capital of the Company is as set forth in the Registration Statement, the Time of Sale Prospectus and the Prospectus under the caption “Capitalization” and in the French Public Disclosure (in each case, other than for subsequent issuances, if any, pursuant to employee or non-employee director or management benefit plans, stock-option and free share plans or upon the exercise of outstanding founders’ warrants (BSPCE), stock options (OSA) and warrants (BSA), or the vesting of free shares in each case described in the Registration Statement, the Time of Sale Prospectus and the Prospectus). The share capital of the Company, including the Offered Securities and the Warrant Shares to be issued upon exercise of the Pre-Funded Warrants, conforms in all material respects to each description thereof contained in the Time of Sale Prospectus. All of the issued and outstanding Ordinary Shares have been duly authorized and validly issued, are fully paid and nonassessable, freely negotiable and have been issued in compliance with French law and, to the extent applicable, all United States federal, state and local securities laws. None of the outstanding Ordinary Shares was issued in violation of any preemptive rights, rights of first refusal or other similar rights to subscribe for or purchase securities of the Company that have not been duly excluded, waived or satisfied. There are no authorized or outstanding options, warrants, preemptive rights, rights of first refusal or other rights to purchase, or equity or debt securities convertible into or exchangeable or exercisable for, any share capital of the Company or any of its subsidiaries other than those described in the Registration Statement, the Time of Sale Prospectus, the Prospectus and the French Public Disclosure. The descriptions of the Company’s (i) free shares, stock option, stock bonus and other stock plans or arrangements, and the options or other rights granted thereunder, and (ii) founders’ warrants (BSPCE) and warrants (BSA), and the rights set forth in the Registration Statement, the Time of Sale Prospectus, the Prospectus and the French Public Disclosure accurately and fairly present the information required to be shown with respect to such plans, arrangements, options, warrants and rights. The ADRs evidencing the Offered ADSs are in due and proper form. With respect to the outstanding founder’s share warrants (BSPCE), stock options, share warrants (BSA) and free shares (</w:t>
      </w:r>
      <w:r>
        <w:rPr>
          <w:rFonts w:ascii="Times New Roman" w:cs="Times New Roman" w:eastAsia="Times New Roman" w:hAnsi="Times New Roman"/>
          <w:sz w:val="15"/>
          <w:szCs w:val="15"/>
          <w:i w:val="1"/>
          <w:iCs w:val="1"/>
          <w:color w:val="auto"/>
        </w:rPr>
        <w:t>actions gratuites</w:t>
      </w:r>
      <w:r>
        <w:rPr>
          <w:rFonts w:ascii="Times New Roman" w:cs="Times New Roman" w:eastAsia="Times New Roman" w:hAnsi="Times New Roman"/>
          <w:sz w:val="15"/>
          <w:szCs w:val="15"/>
          <w:color w:val="auto"/>
        </w:rPr>
        <w:t>), in each case referred to in the Registration Statement, the Time of Sale Prospectus, the Prospectus and the French Public Disclosure, (i) each grant was duly authorized no later than the date on which such grant was by its terms to be effective by all necessary corporate action, including, as applicable, approval by the executive board and supervisory board of the Company and any required shareholder approval by the necessary number of votes or written consents, and the award agreement governing such grant (if any) was duly executed and delivered by each party thereto, (ii) each such grant was made in accordance with the terms of the relevant plan adopted by the Company, as the case may be amended, and all other applicable laws and regulatory rules or requirements, including the rules of the AMF and Euronext, and (iii) each such grant was properly accounted for in accordance with IFRS in the financial statements (including the related notes) of the Company.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6" w:name="page17"/>
    <w:bookmarkEnd w:id="16"/>
    <w:p>
      <w:pPr>
        <w:jc w:val="both"/>
        <w:ind w:firstLine="530"/>
        <w:spacing w:after="0" w:line="260" w:lineRule="auto"/>
        <w:tabs>
          <w:tab w:leader="none" w:pos="1093" w:val="left"/>
        </w:tabs>
        <w:numPr>
          <w:ilvl w:val="0"/>
          <w:numId w:val="1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Working Capital</w:t>
      </w:r>
      <w:r>
        <w:rPr>
          <w:rFonts w:ascii="Times New Roman" w:cs="Times New Roman" w:eastAsia="Times New Roman" w:hAnsi="Times New Roman"/>
          <w:sz w:val="15"/>
          <w:szCs w:val="15"/>
          <w:color w:val="auto"/>
        </w:rPr>
        <w:t>. The cash flow and working capital projections on which the Company has based its working capital statements which will be contained in the Offering Press Releases have been made on reasonable grounds in good faith, after due and careful enquiry and take into account all material matters of which the Company is aware concerning the Company and its subsidiaries. All assumptions on which such working capital statement is based are reasonable and, so far as the Company is aware, there are no other material assumptions which should reasonably be taken into account in the preparation of such working capital statement.</w:t>
      </w:r>
    </w:p>
    <w:p>
      <w:pPr>
        <w:spacing w:after="0" w:line="153" w:lineRule="exact"/>
        <w:rPr>
          <w:rFonts w:ascii="Times New Roman" w:cs="Times New Roman" w:eastAsia="Times New Roman" w:hAnsi="Times New Roman"/>
          <w:sz w:val="15"/>
          <w:szCs w:val="15"/>
          <w:b w:val="1"/>
          <w:bCs w:val="1"/>
          <w:color w:val="auto"/>
        </w:rPr>
      </w:pPr>
    </w:p>
    <w:p>
      <w:pPr>
        <w:jc w:val="both"/>
        <w:ind w:firstLine="530"/>
        <w:spacing w:after="0" w:line="256" w:lineRule="auto"/>
        <w:tabs>
          <w:tab w:leader="none" w:pos="1231" w:val="left"/>
        </w:tabs>
        <w:numPr>
          <w:ilvl w:val="0"/>
          <w:numId w:val="1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Stock Exchange Listing</w:t>
      </w:r>
      <w:r>
        <w:rPr>
          <w:rFonts w:ascii="Times New Roman" w:cs="Times New Roman" w:eastAsia="Times New Roman" w:hAnsi="Times New Roman"/>
          <w:sz w:val="15"/>
          <w:szCs w:val="15"/>
          <w:color w:val="auto"/>
        </w:rPr>
        <w:t>. The Company’s ADSs are registered pursuant to Section 12(b) of the Exchange Act and are listed on The Nasdaq Global Select Market (“</w:t>
      </w:r>
      <w:r>
        <w:rPr>
          <w:rFonts w:ascii="Times New Roman" w:cs="Times New Roman" w:eastAsia="Times New Roman" w:hAnsi="Times New Roman"/>
          <w:sz w:val="15"/>
          <w:szCs w:val="15"/>
          <w:b w:val="1"/>
          <w:bCs w:val="1"/>
          <w:color w:val="auto"/>
        </w:rPr>
        <w:t>Nasdaq</w:t>
      </w:r>
      <w:r>
        <w:rPr>
          <w:rFonts w:ascii="Times New Roman" w:cs="Times New Roman" w:eastAsia="Times New Roman" w:hAnsi="Times New Roman"/>
          <w:sz w:val="15"/>
          <w:szCs w:val="15"/>
          <w:color w:val="auto"/>
        </w:rPr>
        <w:t>”), and the Company has taken no action designed to, or likely to have the effect of, terminating the registration of the Company’s ADSs under the Exchange Act or delisting the ADSs from Nasdaq, nor has the Company received any notification that the Commission or Nasdaq is contemplating terminating such registration or listing. To the Company’s knowledge, it is in compliance with all applicable listing requirements of Nasdaq. The Company will use commercially reasonable efforts to maintain the listing of the Ordinary Shares (including the Underlying Shares and the Warrant Shares) on the regulated market of Euronext Paris (“</w:t>
      </w:r>
      <w:r>
        <w:rPr>
          <w:rFonts w:ascii="Times New Roman" w:cs="Times New Roman" w:eastAsia="Times New Roman" w:hAnsi="Times New Roman"/>
          <w:sz w:val="15"/>
          <w:szCs w:val="15"/>
          <w:b w:val="1"/>
          <w:bCs w:val="1"/>
          <w:color w:val="auto"/>
        </w:rPr>
        <w:t>Euronext</w:t>
      </w:r>
      <w:r>
        <w:rPr>
          <w:rFonts w:ascii="Times New Roman" w:cs="Times New Roman" w:eastAsia="Times New Roman" w:hAnsi="Times New Roman"/>
          <w:sz w:val="15"/>
          <w:szCs w:val="15"/>
          <w:color w:val="auto"/>
        </w:rPr>
        <w:t>”) and will comply with all laws and regulations applying to it due to the listing of the Firm Shares and the Underlying Shares and the Warrant Shares upon exercise of the Pre-Funded Warrants on Euronext.</w:t>
      </w:r>
    </w:p>
    <w:p>
      <w:pPr>
        <w:spacing w:after="0" w:line="156" w:lineRule="exact"/>
        <w:rPr>
          <w:rFonts w:ascii="Times New Roman" w:cs="Times New Roman" w:eastAsia="Times New Roman" w:hAnsi="Times New Roman"/>
          <w:sz w:val="15"/>
          <w:szCs w:val="15"/>
          <w:b w:val="1"/>
          <w:bCs w:val="1"/>
          <w:color w:val="auto"/>
        </w:rPr>
      </w:pPr>
    </w:p>
    <w:p>
      <w:pPr>
        <w:jc w:val="both"/>
        <w:ind w:firstLine="530"/>
        <w:spacing w:after="0" w:line="181" w:lineRule="exact"/>
        <w:tabs>
          <w:tab w:leader="none" w:pos="1167" w:val="left"/>
        </w:tabs>
        <w:numPr>
          <w:ilvl w:val="0"/>
          <w:numId w:val="1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Non-Contravention of Existing Instruments; No Further Authorizations or Approvals Required.</w:t>
      </w:r>
      <w:r>
        <w:rPr>
          <w:rFonts w:ascii="Times New Roman" w:cs="Times New Roman" w:eastAsia="Times New Roman" w:hAnsi="Times New Roman"/>
          <w:sz w:val="15"/>
          <w:szCs w:val="15"/>
          <w:color w:val="auto"/>
        </w:rPr>
        <w:t xml:space="preserve"> Neither the Company nor any of its subsidiaries is in violation of its articles of association or by</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laws, partnership agreement or operating agreement or similar organizational documents, as applicable, or is in default (or, with the giving of notice or lapse of time, would be in default) (“</w:t>
      </w:r>
      <w:r>
        <w:rPr>
          <w:rFonts w:ascii="Times New Roman" w:cs="Times New Roman" w:eastAsia="Times New Roman" w:hAnsi="Times New Roman"/>
          <w:sz w:val="15"/>
          <w:szCs w:val="15"/>
          <w:b w:val="1"/>
          <w:bCs w:val="1"/>
          <w:color w:val="auto"/>
        </w:rPr>
        <w:t>Default</w:t>
      </w:r>
      <w:r>
        <w:rPr>
          <w:rFonts w:ascii="Times New Roman" w:cs="Times New Roman" w:eastAsia="Times New Roman" w:hAnsi="Times New Roman"/>
          <w:sz w:val="15"/>
          <w:szCs w:val="15"/>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5"/>
          <w:szCs w:val="15"/>
          <w:b w:val="1"/>
          <w:bCs w:val="1"/>
          <w:color w:val="auto"/>
        </w:rPr>
        <w:t>Existing Instrument</w:t>
      </w:r>
      <w:r>
        <w:rPr>
          <w:rFonts w:ascii="Times New Roman" w:cs="Times New Roman" w:eastAsia="Times New Roman" w:hAnsi="Times New Roman"/>
          <w:sz w:val="15"/>
          <w:szCs w:val="15"/>
          <w:color w:val="auto"/>
        </w:rPr>
        <w:t>”), except for such Defaults as would not reasonably be expected, individually or in the aggregate, to have a Material Adverse Effect. The Company’s execution, delivery and performance of this Agreement, consummation of the transactions contemplated hereby, by the Deposit Agreement and by the Registration Statement, the F-6 Registration Statement, the Time of Sale Prospectus, the Prospectus and the Offering Press Releases and the issuance and sale of the Offered Securities and the Warrant Shares to be issued upon exercise of the Pre-Funded Warrants (including the use of proceeds from the sale of the Offered Securities as described in the Registration Statement, the Time of Sale Prospectus, the Prospectus under the caption “Use of Proceeds,” and in the Offering Press Releases) (i) have been duly authorized by all necessary corporate action and will not result in any violation of the provisions of the articles of association or by</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for such violations, conflicts, breaches, Defaults, Debt Repayment Triggering Event, lien, charge or encumbrance specified in clauses (ii) and (iii) above as would not, individually or in the aggregate, reasonably be expected to result in a Material Adverse Effect.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by the Deposit Agreement and by the Registration Statement, the F-6 Registration Statement, the Time of Sale Prospectus and the Prospectus, except for the publication by Euronext of notices (</w:t>
      </w:r>
      <w:r>
        <w:rPr>
          <w:rFonts w:ascii="Times New Roman" w:cs="Times New Roman" w:eastAsia="Times New Roman" w:hAnsi="Times New Roman"/>
          <w:sz w:val="15"/>
          <w:szCs w:val="15"/>
          <w:i w:val="1"/>
          <w:iCs w:val="1"/>
          <w:color w:val="auto"/>
        </w:rPr>
        <w:t>avis</w:t>
      </w:r>
      <w:r>
        <w:rPr>
          <w:rFonts w:ascii="Times New Roman" w:cs="Times New Roman" w:eastAsia="Times New Roman" w:hAnsi="Times New Roman"/>
          <w:sz w:val="15"/>
          <w:szCs w:val="15"/>
          <w:color w:val="auto"/>
        </w:rPr>
        <w:t>) with respect to the listing of the Firm Shares and the Underlying Shares and such as have been obtained or made by the Company and are in full force and effect under the Securities Act and such as may be required under applicable state securities or blue sky laws or the Financial Industry Regulatory Authority, Inc. (“</w:t>
      </w:r>
      <w:r>
        <w:rPr>
          <w:rFonts w:ascii="Times New Roman" w:cs="Times New Roman" w:eastAsia="Times New Roman" w:hAnsi="Times New Roman"/>
          <w:sz w:val="15"/>
          <w:szCs w:val="15"/>
          <w:b w:val="1"/>
          <w:bCs w:val="1"/>
          <w:color w:val="auto"/>
        </w:rPr>
        <w:t>FINRA</w:t>
      </w:r>
      <w:r>
        <w:rPr>
          <w:rFonts w:ascii="Times New Roman" w:cs="Times New Roman" w:eastAsia="Times New Roman" w:hAnsi="Times New Roman"/>
          <w:sz w:val="15"/>
          <w:szCs w:val="15"/>
          <w:color w:val="auto"/>
        </w:rPr>
        <w:t>”) or Nasdaq. As used herein, a “</w:t>
      </w:r>
      <w:r>
        <w:rPr>
          <w:rFonts w:ascii="Times New Roman" w:cs="Times New Roman" w:eastAsia="Times New Roman" w:hAnsi="Times New Roman"/>
          <w:sz w:val="15"/>
          <w:szCs w:val="15"/>
          <w:b w:val="1"/>
          <w:bCs w:val="1"/>
          <w:color w:val="auto"/>
        </w:rPr>
        <w:t>Debt Repayment Triggering Event</w:t>
      </w:r>
      <w:r>
        <w:rPr>
          <w:rFonts w:ascii="Times New Roman" w:cs="Times New Roman" w:eastAsia="Times New Roman" w:hAnsi="Times New Roman"/>
          <w:sz w:val="15"/>
          <w:szCs w:val="15"/>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73" w:lineRule="exact"/>
        <w:rPr>
          <w:rFonts w:ascii="Times New Roman" w:cs="Times New Roman" w:eastAsia="Times New Roman" w:hAnsi="Times New Roman"/>
          <w:sz w:val="15"/>
          <w:szCs w:val="15"/>
          <w:b w:val="1"/>
          <w:bCs w:val="1"/>
          <w:color w:val="auto"/>
        </w:rPr>
      </w:pPr>
    </w:p>
    <w:p>
      <w:pPr>
        <w:ind w:firstLine="530"/>
        <w:spacing w:after="0" w:line="280" w:lineRule="auto"/>
        <w:tabs>
          <w:tab w:leader="none" w:pos="1121" w:val="left"/>
        </w:tabs>
        <w:numPr>
          <w:ilvl w:val="0"/>
          <w:numId w:val="1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Compliance with Laws</w:t>
      </w:r>
      <w:r>
        <w:rPr>
          <w:rFonts w:ascii="Times New Roman" w:cs="Times New Roman" w:eastAsia="Times New Roman" w:hAnsi="Times New Roman"/>
          <w:sz w:val="15"/>
          <w:szCs w:val="15"/>
          <w:color w:val="auto"/>
        </w:rPr>
        <w:t>. The Company and its subsidiaries have been and are in compliance with all applicable laws, rules and regulations, except where failure to be so in compliance would not reasonably be expected, individually or in the aggregate, to result in a Material Adverse Effect.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7" w:name="page18"/>
    <w:bookmarkEnd w:id="17"/>
    <w:p>
      <w:pPr>
        <w:jc w:val="both"/>
        <w:ind w:left="10" w:firstLine="530"/>
        <w:spacing w:after="0" w:line="260" w:lineRule="auto"/>
        <w:tabs>
          <w:tab w:leader="none" w:pos="1145" w:val="left"/>
        </w:tabs>
        <w:numPr>
          <w:ilvl w:val="1"/>
          <w:numId w:val="1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Material Actions or Proceedings</w:t>
      </w:r>
      <w:r>
        <w:rPr>
          <w:rFonts w:ascii="Times New Roman" w:cs="Times New Roman" w:eastAsia="Times New Roman" w:hAnsi="Times New Roman"/>
          <w:sz w:val="15"/>
          <w:szCs w:val="15"/>
          <w:color w:val="auto"/>
        </w:rPr>
        <w:t>. There is no action, suit, proceeding, inquiry or investigation brought by or before any governmental entity now pending or, to the knowledge of the Company, threatened, against or affecting the Company or any of its subsidiaries, which would reasonably be expected, individually or in the aggregate, to result in a Material Adverse Effect. No labor dispute with the employees of the Company or any of its subsidiaries, or with the employees of any principal supplier, manufacturer, customer or contractor of the Company, exists or, to the knowledge of the Company, is threatened or imminent, which could reasonably be expected to result in a Material Adverse Effect.</w:t>
      </w:r>
    </w:p>
    <w:p>
      <w:pPr>
        <w:spacing w:after="0" w:line="153" w:lineRule="exact"/>
        <w:rPr>
          <w:rFonts w:ascii="Times New Roman" w:cs="Times New Roman" w:eastAsia="Times New Roman" w:hAnsi="Times New Roman"/>
          <w:sz w:val="15"/>
          <w:szCs w:val="15"/>
          <w:b w:val="1"/>
          <w:bCs w:val="1"/>
          <w:color w:val="auto"/>
        </w:rPr>
      </w:pPr>
    </w:p>
    <w:p>
      <w:pPr>
        <w:jc w:val="both"/>
        <w:ind w:left="10" w:firstLine="530"/>
        <w:spacing w:after="0" w:line="253" w:lineRule="auto"/>
        <w:tabs>
          <w:tab w:leader="none" w:pos="1224" w:val="left"/>
        </w:tabs>
        <w:numPr>
          <w:ilvl w:val="1"/>
          <w:numId w:val="1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Intellectual Property Rights</w:t>
      </w:r>
      <w:r>
        <w:rPr>
          <w:rFonts w:ascii="Times New Roman" w:cs="Times New Roman" w:eastAsia="Times New Roman" w:hAnsi="Times New Roman"/>
          <w:sz w:val="15"/>
          <w:szCs w:val="15"/>
          <w:color w:val="auto"/>
        </w:rPr>
        <w:t>. The Company and its subsidiaries own, or have obtained valid and enforceable licenses for, the inventions, patent applications, patents, trademarks, trade names, service names, copyrights, trade secrets and other intellectual property described in the Registration Statement, the Time of Sale Prospectus, the Prospectus and the French Public Disclosure as being owned or licensed by them or which are necessary for the conduct of their respective businesses as currently conducted or as currently proposed to be conducted (collectively, “</w:t>
      </w:r>
      <w:r>
        <w:rPr>
          <w:rFonts w:ascii="Times New Roman" w:cs="Times New Roman" w:eastAsia="Times New Roman" w:hAnsi="Times New Roman"/>
          <w:sz w:val="15"/>
          <w:szCs w:val="15"/>
          <w:b w:val="1"/>
          <w:bCs w:val="1"/>
          <w:color w:val="auto"/>
        </w:rPr>
        <w:t>Intellectual Property</w:t>
      </w:r>
      <w:r>
        <w:rPr>
          <w:rFonts w:ascii="Times New Roman" w:cs="Times New Roman" w:eastAsia="Times New Roman" w:hAnsi="Times New Roman"/>
          <w:sz w:val="15"/>
          <w:szCs w:val="15"/>
          <w:color w:val="auto"/>
        </w:rPr>
        <w:t>”). To the Company’s knowledge: (i) there are no third parties who have rights to any Intellectual Property, except for customary reversionary rights of third-party licensors with respect to Intellectual Property that is disclosed in the Registration Statement, the Time of Sale Prospectus, the Prospectus and the French Public Disclosure as licensed to the Company or one or more of its subsidiaries; and (ii) there is no infringement by third parties of any Intellectual Property that would reasonably be expected, individually or in the aggregate, to have a Material Adverse Effect. There is no pending or, to the Company’s knowledge, threatened action, suit, proceeding or claim by others:</w:t>
      </w:r>
    </w:p>
    <w:p>
      <w:pPr>
        <w:spacing w:after="0" w:line="1" w:lineRule="exact"/>
        <w:rPr>
          <w:rFonts w:ascii="Times New Roman" w:cs="Times New Roman" w:eastAsia="Times New Roman" w:hAnsi="Times New Roman"/>
          <w:sz w:val="15"/>
          <w:szCs w:val="15"/>
          <w:b w:val="1"/>
          <w:bCs w:val="1"/>
          <w:color w:val="auto"/>
        </w:rPr>
      </w:pPr>
    </w:p>
    <w:p>
      <w:pPr>
        <w:jc w:val="both"/>
        <w:ind w:left="10" w:hanging="10"/>
        <w:spacing w:after="0" w:line="251" w:lineRule="auto"/>
        <w:tabs>
          <w:tab w:leader="none" w:pos="2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the Time of Sale Prospectus, the Prospectus or the French Public Disclosure as under development, infringe or violate, any patent, trademark, trade name, service name, copyright, trade secret or other proprietary rights of others, and the Company is unaware of any facts which would form a reasonable basis for any such action, suit, proceeding or claim. Except as would not reasonably be expected, individually or in the aggregate, to have a Material Adverse Effect, the Company and its subsidiaries have complied with the terms of each agreement pursuant to which Intellectual Property has been licensed to the Company or any subsidiary, and all such agreements are in full force and effect. The product candidates described in the Registration Statement, the Time of Sale Prospectus, the Prospectus and the French Public Disclosure as under development by the Company or any subsidiary fall within the scope of the claims of one or more patents owned by, or exclusively licensed to, the Company or any subsidiary.</w:t>
      </w:r>
    </w:p>
    <w:p>
      <w:pPr>
        <w:spacing w:after="0" w:line="163" w:lineRule="exact"/>
        <w:rPr>
          <w:rFonts w:ascii="Times New Roman" w:cs="Times New Roman" w:eastAsia="Times New Roman" w:hAnsi="Times New Roman"/>
          <w:sz w:val="15"/>
          <w:szCs w:val="15"/>
          <w:color w:val="auto"/>
        </w:rPr>
      </w:pPr>
    </w:p>
    <w:p>
      <w:pPr>
        <w:jc w:val="both"/>
        <w:ind w:left="10" w:firstLine="530"/>
        <w:spacing w:after="0" w:line="188" w:lineRule="exact"/>
        <w:tabs>
          <w:tab w:leader="none" w:pos="1190" w:val="left"/>
        </w:tabs>
        <w:numPr>
          <w:ilvl w:val="1"/>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All Necessary Permits, etc</w:t>
      </w:r>
      <w:r>
        <w:rPr>
          <w:rFonts w:ascii="Times New Roman" w:cs="Times New Roman" w:eastAsia="Times New Roman" w:hAnsi="Times New Roman"/>
          <w:sz w:val="14"/>
          <w:szCs w:val="14"/>
          <w:color w:val="auto"/>
        </w:rPr>
        <w:t>. The Company and its subsidiaries possess such valid and current certificates, authorizations or permits required by French, United States (state or federal) or other foreign regulatory agencies or bodies to conduct their respective businesses as currently conducted and as described in the Registration Statement, the Time of Sale Prospectus, the Prospectus or the French Public Disclosure (“</w:t>
      </w:r>
      <w:r>
        <w:rPr>
          <w:rFonts w:ascii="Times New Roman" w:cs="Times New Roman" w:eastAsia="Times New Roman" w:hAnsi="Times New Roman"/>
          <w:sz w:val="14"/>
          <w:szCs w:val="14"/>
          <w:b w:val="1"/>
          <w:bCs w:val="1"/>
          <w:color w:val="auto"/>
        </w:rPr>
        <w:t>Permits</w:t>
      </w:r>
      <w:r>
        <w:rPr>
          <w:rFonts w:ascii="Times New Roman" w:cs="Times New Roman" w:eastAsia="Times New Roman" w:hAnsi="Times New Roman"/>
          <w:sz w:val="14"/>
          <w:szCs w:val="14"/>
          <w:color w:val="auto"/>
        </w:rPr>
        <w:t>”), except where failure to so possess would not reasonably be expected, individually or in the aggregate, to have a Material Adverse Effect. Except as would not reasonably be expected, individually or in the aggregate, to have a Material Adverse Effect, neither the Company nor any of its subsidiaries is in violation of, or in default under, any of the Permits or has received any notice of proceedings relating to the revocation or modification of, or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compliance with, any such Permit.</w:t>
      </w:r>
    </w:p>
    <w:p>
      <w:pPr>
        <w:spacing w:after="0" w:line="144" w:lineRule="exact"/>
        <w:rPr>
          <w:rFonts w:ascii="Times New Roman" w:cs="Times New Roman" w:eastAsia="Times New Roman" w:hAnsi="Times New Roman"/>
          <w:sz w:val="14"/>
          <w:szCs w:val="14"/>
          <w:b w:val="1"/>
          <w:bCs w:val="1"/>
          <w:color w:val="auto"/>
        </w:rPr>
      </w:pPr>
    </w:p>
    <w:p>
      <w:pPr>
        <w:jc w:val="both"/>
        <w:ind w:left="10" w:firstLine="530"/>
        <w:spacing w:after="0" w:line="256" w:lineRule="auto"/>
        <w:tabs>
          <w:tab w:leader="none" w:pos="1156" w:val="left"/>
        </w:tabs>
        <w:numPr>
          <w:ilvl w:val="1"/>
          <w:numId w:val="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Title to Properties</w:t>
      </w:r>
      <w:r>
        <w:rPr>
          <w:rFonts w:ascii="Times New Roman" w:cs="Times New Roman" w:eastAsia="Times New Roman" w:hAnsi="Times New Roman"/>
          <w:sz w:val="15"/>
          <w:szCs w:val="15"/>
          <w:color w:val="auto"/>
        </w:rPr>
        <w:t>. The Company and its subsidiaries have good and marketable title to all of the real and personal property and other assets reflected as owned in the financial statements referred to in Section 1(l) above (or elsewhere in the Registration Statement, the Time of Sale Prospectus, the Prospectus or the French Public Disclosure), in each case free and clear of any security interests, mortgages, liens, encumbrances, equities, adverse claims and other defects, except as would not reasonably be expected, individually or in the aggregate, to have a Material Adverse Effect. The real property, improvements, equipment and personal property material to its business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3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5518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5" w:right="319" w:bottom="1440" w:gutter="0" w:footer="0" w:header="0"/>
        </w:sectPr>
      </w:pPr>
    </w:p>
    <w:bookmarkStart w:id="18" w:name="page19"/>
    <w:bookmarkEnd w:id="18"/>
    <w:p>
      <w:pPr>
        <w:jc w:val="both"/>
        <w:ind w:firstLine="530"/>
        <w:spacing w:after="0" w:line="252" w:lineRule="auto"/>
        <w:tabs>
          <w:tab w:leader="none" w:pos="1104" w:val="left"/>
        </w:tabs>
        <w:numPr>
          <w:ilvl w:val="0"/>
          <w:numId w:val="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Tax Law Compliance</w:t>
      </w:r>
      <w:r>
        <w:rPr>
          <w:rFonts w:ascii="Times New Roman" w:cs="Times New Roman" w:eastAsia="Times New Roman" w:hAnsi="Times New Roman"/>
          <w:sz w:val="15"/>
          <w:szCs w:val="15"/>
          <w:color w:val="auto"/>
        </w:rPr>
        <w:t xml:space="preserve">. The Company and each of its subsidiaries have timely filed with the appropriate governmental authority all United States federal, state, local, and non-United States tax returns required to be filed through the date hereof, or have properly requested extensions thereof, such tax returns are true, correct and complete in all respects, and the Company and each of its subsidiaries have timely paid all taxes required to be paid by any of them (whether or not shown on a tax return) through the date hereof including any related or similar assessment, interest, fine or penalty levied against any of them, except as may be being contested in good faith and by appropriate proceedings or except where the failure to file a tax return or the failure to pay any tax would not, individually or in the aggregate, reasonably be expected to have a Material Adverse Effect. None of the Company or its subsidiaries is under audit by any governmental authorities, and none of them has received written notice of any pending or threatened audit other than with respect to routine tax audits which the Company does not reasonably believe would have a Material Adverse Effect. The Company has made adequate charges, accruals and reserves in the applicable financial statements referred to in Section 1(l) above in respect of all United States federal, state, local, and non-United States taxes for all periods as to which the tax liability of the Company or any of its subsidiaries has not been finally determined. No transaction, documentary, stamp, capital or other issuance, registration, transaction, transfer or withholding tax or duty (including, for the avoidance of doubt, financial transaction tax as set out in Article 235 ter ZD of the </w:t>
      </w:r>
      <w:r>
        <w:rPr>
          <w:rFonts w:ascii="Times New Roman" w:cs="Times New Roman" w:eastAsia="Times New Roman" w:hAnsi="Times New Roman"/>
          <w:sz w:val="15"/>
          <w:szCs w:val="15"/>
          <w:i w:val="1"/>
          <w:iCs w:val="1"/>
          <w:color w:val="auto"/>
        </w:rPr>
        <w:t>Code général des impôts</w:t>
      </w:r>
      <w:r>
        <w:rPr>
          <w:rFonts w:ascii="Times New Roman" w:cs="Times New Roman" w:eastAsia="Times New Roman" w:hAnsi="Times New Roman"/>
          <w:sz w:val="15"/>
          <w:szCs w:val="15"/>
          <w:color w:val="auto"/>
        </w:rPr>
        <w:t>) is payable in France by or on behalf of the Underwriters to any taxing authority in connection with (i) the issuance, sale and delivery of the Offered Securities and Warrant Shares by the Company, the issuance of the ADSs by the Depositary, and the delivery of the Offered Securities (other than the ADSs) to or for the account of the Underwriters; (ii) the purchase from the Company, and the initial sale, transfer and delivery by the Underwriters of the Offered Securities to purchasers thereof; (iii) the deposit of the Ordinary Shares and the Warrant Shares with the Depositary and the issuance and delivery by the Depositary of the ADRs evidencing the ADSs; or (iv) the execution, delivery and consummation of this Agreement or the Deposit Agreement or any other document to be furnished hereunder, other than the transfer taxes set forth in Article 726 of the French Tax Code applicable if any such sale or transfer is evidenced by an acte within the meaning of such Article.</w:t>
      </w:r>
    </w:p>
    <w:p>
      <w:pPr>
        <w:spacing w:after="0" w:line="165" w:lineRule="exact"/>
        <w:rPr>
          <w:sz w:val="20"/>
          <w:szCs w:val="20"/>
          <w:color w:val="auto"/>
        </w:rPr>
      </w:pPr>
    </w:p>
    <w:p>
      <w:pPr>
        <w:jc w:val="both"/>
        <w:ind w:firstLine="530"/>
        <w:spacing w:after="0" w:line="255" w:lineRule="auto"/>
        <w:tabs>
          <w:tab w:leader="none" w:pos="1165" w:val="left"/>
        </w:tabs>
        <w:numPr>
          <w:ilvl w:val="0"/>
          <w:numId w:val="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Insurance</w:t>
      </w:r>
      <w:r>
        <w:rPr>
          <w:rFonts w:ascii="Times New Roman" w:cs="Times New Roman" w:eastAsia="Times New Roman" w:hAnsi="Times New Roman"/>
          <w:sz w:val="15"/>
          <w:szCs w:val="15"/>
          <w:color w:val="auto"/>
        </w:rPr>
        <w:t>.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reasonably be expected to have a Material Adverse Effect. Neither the Company nor any of its subsidiaries has been denied any insurance coverage which it has sought or for which it has applied.</w:t>
      </w:r>
    </w:p>
    <w:p>
      <w:pPr>
        <w:spacing w:after="0" w:line="157" w:lineRule="exact"/>
        <w:rPr>
          <w:rFonts w:ascii="Times New Roman" w:cs="Times New Roman" w:eastAsia="Times New Roman" w:hAnsi="Times New Roman"/>
          <w:sz w:val="15"/>
          <w:szCs w:val="15"/>
          <w:b w:val="1"/>
          <w:bCs w:val="1"/>
          <w:color w:val="auto"/>
        </w:rPr>
      </w:pPr>
    </w:p>
    <w:p>
      <w:pPr>
        <w:jc w:val="both"/>
        <w:ind w:firstLine="530"/>
        <w:spacing w:after="0" w:line="253" w:lineRule="auto"/>
        <w:tabs>
          <w:tab w:leader="none" w:pos="1216" w:val="left"/>
        </w:tabs>
        <w:numPr>
          <w:ilvl w:val="0"/>
          <w:numId w:val="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Compliance with Environmental Laws</w:t>
      </w:r>
      <w:r>
        <w:rPr>
          <w:rFonts w:ascii="Times New Roman" w:cs="Times New Roman" w:eastAsia="Times New Roman" w:hAnsi="Times New Roman"/>
          <w:sz w:val="15"/>
          <w:szCs w:val="15"/>
          <w:color w:val="auto"/>
        </w:rPr>
        <w:t>. Except as could not reasonably be expected, individually or in the aggregate, to have a Material Adverse Effect: (i) neither the Company nor any of its subsidiaries is in violation of any French, U.S. (federal, state or local) or other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5"/>
          <w:szCs w:val="15"/>
          <w:b w:val="1"/>
          <w:bCs w:val="1"/>
          <w:color w:val="auto"/>
        </w:rPr>
        <w:t>Hazardous Materials</w:t>
      </w:r>
      <w:r>
        <w:rPr>
          <w:rFonts w:ascii="Times New Roman" w:cs="Times New Roman" w:eastAsia="Times New Roman" w:hAnsi="Times New Roman"/>
          <w:sz w:val="15"/>
          <w:szCs w:val="15"/>
          <w:color w:val="auto"/>
        </w:rPr>
        <w:t>”) or to the manufacture, processing, distribution, use, treatment, storage, disposal, transport or handling of Hazardous Materials (collectively, “</w:t>
      </w:r>
      <w:r>
        <w:rPr>
          <w:rFonts w:ascii="Times New Roman" w:cs="Times New Roman" w:eastAsia="Times New Roman" w:hAnsi="Times New Roman"/>
          <w:sz w:val="15"/>
          <w:szCs w:val="15"/>
          <w:b w:val="1"/>
          <w:bCs w:val="1"/>
          <w:color w:val="auto"/>
        </w:rPr>
        <w:t>Environmental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Laws</w:t>
      </w:r>
      <w:r>
        <w:rPr>
          <w:rFonts w:ascii="Times New Roman" w:cs="Times New Roman" w:eastAsia="Times New Roman" w:hAnsi="Times New Roman"/>
          <w:sz w:val="15"/>
          <w:szCs w:val="15"/>
          <w:color w:val="auto"/>
        </w:rPr>
        <w:t>”); (ii) the Company and its subsidiaries have all permits, authorizations, and approvals required under any applicable Environmental Law and are each in compliance with their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existing as of the date hereof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9" w:name="page20"/>
    <w:bookmarkEnd w:id="19"/>
    <w:p>
      <w:pPr>
        <w:jc w:val="both"/>
        <w:ind w:firstLine="530"/>
        <w:spacing w:after="0" w:line="253" w:lineRule="auto"/>
        <w:tabs>
          <w:tab w:leader="none" w:pos="1193" w:val="left"/>
        </w:tabs>
        <w:numPr>
          <w:ilvl w:val="0"/>
          <w:numId w:val="1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ERISA Compliance</w:t>
      </w:r>
      <w:r>
        <w:rPr>
          <w:rFonts w:ascii="Times New Roman" w:cs="Times New Roman" w:eastAsia="Times New Roman" w:hAnsi="Times New Roman"/>
          <w:sz w:val="15"/>
          <w:szCs w:val="15"/>
          <w:color w:val="auto"/>
        </w:rPr>
        <w:t>. 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5"/>
          <w:szCs w:val="15"/>
          <w:b w:val="1"/>
          <w:bCs w:val="1"/>
          <w:color w:val="auto"/>
        </w:rPr>
        <w:t>ERISA</w:t>
      </w:r>
      <w:r>
        <w:rPr>
          <w:rFonts w:ascii="Times New Roman" w:cs="Times New Roman" w:eastAsia="Times New Roman" w:hAnsi="Times New Roman"/>
          <w:sz w:val="15"/>
          <w:szCs w:val="15"/>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5"/>
          <w:szCs w:val="15"/>
          <w:b w:val="1"/>
          <w:bCs w:val="1"/>
          <w:color w:val="auto"/>
        </w:rPr>
        <w:t>ERISA Affiliate</w:t>
      </w:r>
      <w:r>
        <w:rPr>
          <w:rFonts w:ascii="Times New Roman" w:cs="Times New Roman" w:eastAsia="Times New Roman" w:hAnsi="Times New Roman"/>
          <w:sz w:val="15"/>
          <w:szCs w:val="15"/>
          <w:color w:val="auto"/>
        </w:rPr>
        <w:t>” means, with respect to the Company or any of its subsidiaries, any member of any group of organizations described in Sections 414(b), (c), (m) or (o) of the Internal Revenue Code of 1986, as amended (the “</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and the regulations and published interpretations thereunder of which the Company or such subsidiary is a member. Except as would not be reasonably expected to result in a Material Adverse Effect, no “reportable event” (as defined under ERISA) has occurred or is reasonably expected to occur with respect to any “employee benefit plan” established or maintained by the Company, its subsidiaries or any of their ERISA Affiliates. Except as would not be reasonably expected to result in a Material Adverse Effect, no “employee benefit plan” established or maintained by the Company, its subsidiaries or any of their ERISA Affiliates, if such “employee benefit plan” were terminated, would have any “amount of unfunded benefit liabilities” (as defined under ERISA). Except as would not be reasonably expected to result in a Material Adverse Effect, none of the Company, its subsidiaries 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to the knowledge of the Company, nothing has occurred, whether by action or failure to act, which would cause the loss of such qualification.</w:t>
      </w:r>
    </w:p>
    <w:p>
      <w:pPr>
        <w:spacing w:after="0" w:line="159" w:lineRule="exact"/>
        <w:rPr>
          <w:rFonts w:ascii="Times New Roman" w:cs="Times New Roman" w:eastAsia="Times New Roman" w:hAnsi="Times New Roman"/>
          <w:sz w:val="15"/>
          <w:szCs w:val="15"/>
          <w:b w:val="1"/>
          <w:bCs w:val="1"/>
          <w:color w:val="auto"/>
        </w:rPr>
      </w:pPr>
    </w:p>
    <w:p>
      <w:pPr>
        <w:jc w:val="both"/>
        <w:ind w:firstLine="530"/>
        <w:spacing w:after="0" w:line="260" w:lineRule="auto"/>
        <w:tabs>
          <w:tab w:leader="none" w:pos="1216" w:val="left"/>
        </w:tabs>
        <w:numPr>
          <w:ilvl w:val="0"/>
          <w:numId w:val="1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Company Not an “Investment Company”; Not a “Passive Foreign Investment Company”</w:t>
      </w:r>
      <w:r>
        <w:rPr>
          <w:rFonts w:ascii="Times New Roman" w:cs="Times New Roman" w:eastAsia="Times New Roman" w:hAnsi="Times New Roman"/>
          <w:sz w:val="15"/>
          <w:szCs w:val="15"/>
          <w:color w:val="auto"/>
        </w:rPr>
        <w:t xml:space="preserve">. The Company is not, and will not be, either after receipt of payment for the Offered Securities or after the application of the proceeds therefrom as described under “Use of Proceeds” in the Registration Statement, the Time of Sale Prospectus or the Prospectus and the Offering Press Releases, required to register as an “investment company” under the Investment Company Act of 1940, as amended (the </w:t>
      </w:r>
      <w:r>
        <w:rPr>
          <w:rFonts w:ascii="Times New Roman" w:cs="Times New Roman" w:eastAsia="Times New Roman" w:hAnsi="Times New Roman"/>
          <w:sz w:val="15"/>
          <w:szCs w:val="15"/>
          <w:b w:val="1"/>
          <w:bCs w:val="1"/>
          <w:color w:val="auto"/>
        </w:rPr>
        <w:t>“Investment Company Act”</w:t>
      </w:r>
      <w:r>
        <w:rPr>
          <w:rFonts w:ascii="Times New Roman" w:cs="Times New Roman" w:eastAsia="Times New Roman" w:hAnsi="Times New Roman"/>
          <w:sz w:val="15"/>
          <w:szCs w:val="15"/>
          <w:color w:val="auto"/>
        </w:rPr>
        <w:t>). For the taxable year ended December 31, 2025, the Company does not believe that it was a “passive foreign investment company” as such term is defined in Section 1297 of the Code.</w:t>
      </w:r>
    </w:p>
    <w:p>
      <w:pPr>
        <w:spacing w:after="0" w:line="153" w:lineRule="exact"/>
        <w:rPr>
          <w:rFonts w:ascii="Times New Roman" w:cs="Times New Roman" w:eastAsia="Times New Roman" w:hAnsi="Times New Roman"/>
          <w:sz w:val="15"/>
          <w:szCs w:val="15"/>
          <w:b w:val="1"/>
          <w:bCs w:val="1"/>
          <w:color w:val="auto"/>
        </w:rPr>
      </w:pPr>
    </w:p>
    <w:p>
      <w:pPr>
        <w:jc w:val="both"/>
        <w:ind w:firstLine="530"/>
        <w:spacing w:after="0" w:line="253" w:lineRule="auto"/>
        <w:tabs>
          <w:tab w:leader="none" w:pos="1272" w:val="left"/>
        </w:tabs>
        <w:numPr>
          <w:ilvl w:val="0"/>
          <w:numId w:val="1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Price Stabilization or Manipulation; Compliance with Regulation M</w:t>
      </w:r>
      <w:r>
        <w:rPr>
          <w:rFonts w:ascii="Times New Roman" w:cs="Times New Roman" w:eastAsia="Times New Roman" w:hAnsi="Times New Roman"/>
          <w:sz w:val="15"/>
          <w:szCs w:val="15"/>
          <w:color w:val="auto"/>
        </w:rPr>
        <w:t>. Neither the Company nor any of its subsidiaries has taken, directly or indirectly (without giving effect to the activities by the Underwriters), any action designed to or that would reasonably be expected to cause or result in any unlawful stabilization or manipulation of the price of the Offered Securities or of any “reference security” (as defined in Rule 100 of Regulation M under the Exchange Act (“</w:t>
      </w:r>
      <w:r>
        <w:rPr>
          <w:rFonts w:ascii="Times New Roman" w:cs="Times New Roman" w:eastAsia="Times New Roman" w:hAnsi="Times New Roman"/>
          <w:sz w:val="15"/>
          <w:szCs w:val="15"/>
          <w:b w:val="1"/>
          <w:bCs w:val="1"/>
          <w:color w:val="auto"/>
        </w:rPr>
        <w:t>Regulation M</w:t>
      </w:r>
      <w:r>
        <w:rPr>
          <w:rFonts w:ascii="Times New Roman" w:cs="Times New Roman" w:eastAsia="Times New Roman" w:hAnsi="Times New Roman"/>
          <w:sz w:val="15"/>
          <w:szCs w:val="15"/>
          <w:color w:val="auto"/>
        </w:rPr>
        <w:t>”)) with respect to the Offered Securities, whether to facilitate the sale or resale of the Offered Securities or otherwise, and has taken no action which would directly or indirectly violate Regulation M. Neither the Company, nor any of its subsidiaries, has taken, directly or indirectly, any action designed to cause or to result in, or that has constituted or that might reasonably be expected to cause or result in, the stabilization of the Offered Securities in violation of applicable European Union or French laws or manipulation of the price of any security of the Company to facilitate the sale or resale of the Offered Securities. The Company has not taken or omitted to take any action nor will take any action or omit to take any action which may result in the loss by any of the Underwriters of the ability to rely on any stabilization safe harbor provided under the Commission Delegated Regulation (EU) 2016/1052 of 8 March 2016 supplementing Regulation (EU) No 596/2014 of the European Parliament and of the Council with regard to regulatory technical standards for the conditions applicable to buy-back programs and stabilization measures. The Company authorizes Jefferies LLC to make adequate public disclosure of information, and to act as the central point responsible for handling any request from a competent authority, in each case as required by Article 6(5) of Commission Delegated Regulation (EU) 2016/1052 of March 8, 2016 as amended, with regard to regulatory technical standards for conditions applicable to buy-back programs and stabilization measures.</w:t>
      </w:r>
    </w:p>
    <w:p>
      <w:pPr>
        <w:spacing w:after="0" w:line="159" w:lineRule="exact"/>
        <w:rPr>
          <w:rFonts w:ascii="Times New Roman" w:cs="Times New Roman" w:eastAsia="Times New Roman" w:hAnsi="Times New Roman"/>
          <w:sz w:val="15"/>
          <w:szCs w:val="15"/>
          <w:b w:val="1"/>
          <w:bCs w:val="1"/>
          <w:color w:val="auto"/>
        </w:rPr>
      </w:pPr>
    </w:p>
    <w:p>
      <w:pPr>
        <w:jc w:val="both"/>
        <w:ind w:firstLine="530"/>
        <w:spacing w:after="0" w:line="256" w:lineRule="auto"/>
        <w:tabs>
          <w:tab w:leader="none" w:pos="1115" w:val="left"/>
        </w:tabs>
        <w:numPr>
          <w:ilvl w:val="0"/>
          <w:numId w:val="1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Market Abuse</w:t>
      </w:r>
      <w:r>
        <w:rPr>
          <w:rFonts w:ascii="Times New Roman" w:cs="Times New Roman" w:eastAsia="Times New Roman" w:hAnsi="Times New Roman"/>
          <w:sz w:val="15"/>
          <w:szCs w:val="15"/>
          <w:color w:val="auto"/>
        </w:rPr>
        <w:t>. The Company has complied in all material respects with the applicable provisions of EU Regulation No 596/2014 of April 16, 2014 on market abuse, as amended, delegated EU regulations adopted thereunder and the equivalent French laws and regulations (the “</w:t>
      </w:r>
      <w:r>
        <w:rPr>
          <w:rFonts w:ascii="Times New Roman" w:cs="Times New Roman" w:eastAsia="Times New Roman" w:hAnsi="Times New Roman"/>
          <w:sz w:val="15"/>
          <w:szCs w:val="15"/>
          <w:b w:val="1"/>
          <w:bCs w:val="1"/>
          <w:color w:val="auto"/>
        </w:rPr>
        <w:t>Market Abuse Rules</w:t>
      </w:r>
      <w:r>
        <w:rPr>
          <w:rFonts w:ascii="Times New Roman" w:cs="Times New Roman" w:eastAsia="Times New Roman" w:hAnsi="Times New Roman"/>
          <w:sz w:val="15"/>
          <w:szCs w:val="15"/>
          <w:color w:val="auto"/>
        </w:rPr>
        <w:t>”) and has taken adequate measures and has adequate procedures in place in order to ensure such compliance. Neither the allotment of the Offered Securities nor the sale of the Offered Securities and the consummation of the transactions contemplated by this Agreement will cause or result in the violation of any material provision of the Market Abuse Rules, and no Company’s executive directors, executive board members and supervisory board members and to the knowledge of the Company, no officer, agent, or other person acting on behalf of the Company (except for the Underwriters, in respect of which the Company makes no representation) has done any act or engaged in any course of conduct constituting such violation.</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0" w:name="page21"/>
    <w:bookmarkEnd w:id="20"/>
    <w:p>
      <w:pPr>
        <w:jc w:val="both"/>
        <w:ind w:firstLine="530"/>
        <w:spacing w:after="0" w:line="266" w:lineRule="auto"/>
        <w:tabs>
          <w:tab w:leader="none" w:pos="1188" w:val="left"/>
        </w:tabs>
        <w:numPr>
          <w:ilvl w:val="0"/>
          <w:numId w:val="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Related-Party Transactions</w:t>
      </w:r>
      <w:r>
        <w:rPr>
          <w:rFonts w:ascii="Times New Roman" w:cs="Times New Roman" w:eastAsia="Times New Roman" w:hAnsi="Times New Roman"/>
          <w:sz w:val="15"/>
          <w:szCs w:val="15"/>
          <w:color w:val="auto"/>
        </w:rPr>
        <w:t xml:space="preserve">. There are no business relationships or related-party transactions, including </w:t>
      </w:r>
      <w:r>
        <w:rPr>
          <w:rFonts w:ascii="Times New Roman" w:cs="Times New Roman" w:eastAsia="Times New Roman" w:hAnsi="Times New Roman"/>
          <w:sz w:val="15"/>
          <w:szCs w:val="15"/>
          <w:i w:val="1"/>
          <w:iCs w:val="1"/>
          <w:color w:val="auto"/>
        </w:rPr>
        <w:t>conventions réglementées</w:t>
      </w:r>
      <w:r>
        <w:rPr>
          <w:rFonts w:ascii="Times New Roman" w:cs="Times New Roman" w:eastAsia="Times New Roman" w:hAnsi="Times New Roman"/>
          <w:sz w:val="15"/>
          <w:szCs w:val="15"/>
          <w:color w:val="auto"/>
        </w:rPr>
        <w:t xml:space="preserve"> under Article L. 225-86 </w:t>
      </w:r>
      <w:r>
        <w:rPr>
          <w:rFonts w:ascii="Times New Roman" w:cs="Times New Roman" w:eastAsia="Times New Roman" w:hAnsi="Times New Roman"/>
          <w:sz w:val="15"/>
          <w:szCs w:val="15"/>
          <w:i w:val="1"/>
          <w:iCs w:val="1"/>
          <w:color w:val="auto"/>
        </w:rPr>
        <w:t>et seq.</w:t>
      </w:r>
      <w:r>
        <w:rPr>
          <w:rFonts w:ascii="Times New Roman" w:cs="Times New Roman" w:eastAsia="Times New Roman" w:hAnsi="Times New Roman"/>
          <w:sz w:val="15"/>
          <w:szCs w:val="15"/>
          <w:color w:val="auto"/>
        </w:rPr>
        <w:t xml:space="preserve"> of the French Commercial Code, involving the Company or any of its subsidiaries or any other person required to be described in the Registration Statement, the Time of Sale Prospectus, the Prospectus or the French Public Disclosure that have not been described as required.</w:t>
      </w:r>
    </w:p>
    <w:p>
      <w:pPr>
        <w:spacing w:after="0" w:line="148" w:lineRule="exact"/>
        <w:rPr>
          <w:rFonts w:ascii="Times New Roman" w:cs="Times New Roman" w:eastAsia="Times New Roman" w:hAnsi="Times New Roman"/>
          <w:sz w:val="15"/>
          <w:szCs w:val="15"/>
          <w:b w:val="1"/>
          <w:bCs w:val="1"/>
          <w:color w:val="auto"/>
        </w:rPr>
      </w:pPr>
    </w:p>
    <w:p>
      <w:pPr>
        <w:jc w:val="both"/>
        <w:ind w:firstLine="530"/>
        <w:spacing w:after="0" w:line="265" w:lineRule="auto"/>
        <w:tabs>
          <w:tab w:leader="none" w:pos="1306" w:val="left"/>
        </w:tabs>
        <w:numPr>
          <w:ilvl w:val="0"/>
          <w:numId w:val="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FINRA Matters</w:t>
      </w:r>
      <w:r>
        <w:rPr>
          <w:rFonts w:ascii="Times New Roman" w:cs="Times New Roman" w:eastAsia="Times New Roman" w:hAnsi="Times New Roman"/>
          <w:sz w:val="15"/>
          <w:szCs w:val="15"/>
          <w:color w:val="auto"/>
        </w:rPr>
        <w:t>. All of the information provided to the Underwriters or to counsel for the Underwriters by the Company, its counsel, its officers and directors, in connection with the offering of the Offered Securities is, to the Company’s knowledge, true, complete, correct and compliant with FINRA’s rules in all material respects and any letters, filings or other supplemental information provided to FINRA pursuant to FINRA Rules or NASD Conduct Rules is true, complete and correct in all material respects.</w:t>
      </w:r>
    </w:p>
    <w:p>
      <w:pPr>
        <w:spacing w:after="0" w:line="145" w:lineRule="exact"/>
        <w:rPr>
          <w:rFonts w:ascii="Times New Roman" w:cs="Times New Roman" w:eastAsia="Times New Roman" w:hAnsi="Times New Roman"/>
          <w:sz w:val="15"/>
          <w:szCs w:val="15"/>
          <w:b w:val="1"/>
          <w:bCs w:val="1"/>
          <w:color w:val="auto"/>
        </w:rPr>
      </w:pPr>
    </w:p>
    <w:p>
      <w:pPr>
        <w:jc w:val="both"/>
        <w:ind w:firstLine="530"/>
        <w:spacing w:after="0" w:line="259" w:lineRule="auto"/>
        <w:tabs>
          <w:tab w:leader="none" w:pos="1290" w:val="left"/>
        </w:tabs>
        <w:numPr>
          <w:ilvl w:val="0"/>
          <w:numId w:val="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Parties to Lock-Up Agreements</w:t>
      </w:r>
      <w:r>
        <w:rPr>
          <w:rFonts w:ascii="Times New Roman" w:cs="Times New Roman" w:eastAsia="Times New Roman" w:hAnsi="Times New Roman"/>
          <w:sz w:val="15"/>
          <w:szCs w:val="15"/>
          <w:color w:val="auto"/>
        </w:rPr>
        <w:t xml:space="preserve">. The Company has furnished to the Representatives a letter agreement in the form attached hereto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color w:val="auto"/>
        </w:rPr>
        <w:t>Lock-up</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from each of the persons listed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lists under an appropriate caption the executive board members and supervisory board members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If any additional persons shall become executive board members or supervisory board members of the Company prior to the end of the Lock-up Period (as defined below), the Company shall cause each such person, prior to or contemporaneously with their appointment or election as a director or executive officer of the Company, to execute and deliver to the Representatives a Lock-up Agreement.</w:t>
      </w:r>
    </w:p>
    <w:p>
      <w:pPr>
        <w:spacing w:after="0" w:line="120" w:lineRule="exact"/>
        <w:rPr>
          <w:rFonts w:ascii="Times New Roman" w:cs="Times New Roman" w:eastAsia="Times New Roman" w:hAnsi="Times New Roman"/>
          <w:sz w:val="15"/>
          <w:szCs w:val="15"/>
          <w:b w:val="1"/>
          <w:bCs w:val="1"/>
          <w:color w:val="auto"/>
        </w:rPr>
      </w:pPr>
    </w:p>
    <w:p>
      <w:pPr>
        <w:jc w:val="both"/>
        <w:ind w:firstLine="530"/>
        <w:spacing w:after="0" w:line="196" w:lineRule="exact"/>
        <w:tabs>
          <w:tab w:leader="none" w:pos="1261" w:val="left"/>
        </w:tabs>
        <w:numPr>
          <w:ilvl w:val="0"/>
          <w:numId w:val="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Statistical and Market-Related Data</w:t>
      </w:r>
      <w:r>
        <w:rPr>
          <w:rFonts w:ascii="Times New Roman" w:cs="Times New Roman" w:eastAsia="Times New Roman" w:hAnsi="Times New Roman"/>
          <w:sz w:val="15"/>
          <w:szCs w:val="15"/>
          <w:color w:val="auto"/>
        </w:rPr>
        <w:t>. All statistical, demographic and market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related data included in the Registration Statement, the Time of Sale Prospectus, the Prospectus or the French Public Disclosure are based on or derived from sources that the Company believes, after reasonable inquiry, to be reliable and accurate. To the extent required, the Company has obtained the written consent to the use of such data from such sources.</w:t>
      </w:r>
    </w:p>
    <w:p>
      <w:pPr>
        <w:spacing w:after="0" w:line="167" w:lineRule="exact"/>
        <w:rPr>
          <w:rFonts w:ascii="Times New Roman" w:cs="Times New Roman" w:eastAsia="Times New Roman" w:hAnsi="Times New Roman"/>
          <w:sz w:val="15"/>
          <w:szCs w:val="15"/>
          <w:b w:val="1"/>
          <w:bCs w:val="1"/>
          <w:color w:val="auto"/>
        </w:rPr>
      </w:pPr>
    </w:p>
    <w:p>
      <w:pPr>
        <w:jc w:val="both"/>
        <w:ind w:firstLine="530"/>
        <w:spacing w:after="0" w:line="265" w:lineRule="auto"/>
        <w:tabs>
          <w:tab w:leader="none" w:pos="1306" w:val="left"/>
        </w:tabs>
        <w:numPr>
          <w:ilvl w:val="0"/>
          <w:numId w:val="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Unlawful Contributions or Other Payments</w:t>
      </w:r>
      <w:r>
        <w:rPr>
          <w:rFonts w:ascii="Times New Roman" w:cs="Times New Roman" w:eastAsia="Times New Roman" w:hAnsi="Times New Roman"/>
          <w:sz w:val="15"/>
          <w:szCs w:val="15"/>
          <w:color w:val="auto"/>
        </w:rPr>
        <w:t>. 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the Time of Sale Prospectus, the Prospectus or the French Public Disclosure.</w:t>
      </w:r>
    </w:p>
    <w:p>
      <w:pPr>
        <w:spacing w:after="0" w:line="149" w:lineRule="exact"/>
        <w:rPr>
          <w:rFonts w:ascii="Times New Roman" w:cs="Times New Roman" w:eastAsia="Times New Roman" w:hAnsi="Times New Roman"/>
          <w:sz w:val="15"/>
          <w:szCs w:val="15"/>
          <w:b w:val="1"/>
          <w:bCs w:val="1"/>
          <w:color w:val="auto"/>
        </w:rPr>
      </w:pPr>
    </w:p>
    <w:p>
      <w:pPr>
        <w:jc w:val="both"/>
        <w:ind w:firstLine="530"/>
        <w:spacing w:after="0" w:line="253" w:lineRule="auto"/>
        <w:tabs>
          <w:tab w:leader="none" w:pos="1132" w:val="left"/>
        </w:tabs>
        <w:numPr>
          <w:ilvl w:val="0"/>
          <w:numId w:val="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Anti-Corruption and Anti-Bribery Laws</w:t>
      </w:r>
      <w:r>
        <w:rPr>
          <w:rFonts w:ascii="Times New Roman" w:cs="Times New Roman" w:eastAsia="Times New Roman" w:hAnsi="Times New Roman"/>
          <w:sz w:val="15"/>
          <w:szCs w:val="15"/>
          <w:color w:val="auto"/>
        </w:rPr>
        <w:t>. Neither the Company nor any of its subsidiaries nor any, to the knowledge of the Company, any board member, officer, agent, employee,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cs="Times New Roman" w:eastAsia="Times New Roman" w:hAnsi="Times New Roman"/>
          <w:sz w:val="15"/>
          <w:szCs w:val="15"/>
          <w:b w:val="1"/>
          <w:bCs w:val="1"/>
          <w:color w:val="auto"/>
        </w:rPr>
        <w:t>FCPA</w:t>
      </w:r>
      <w:r>
        <w:rPr>
          <w:rFonts w:ascii="Times New Roman" w:cs="Times New Roman" w:eastAsia="Times New Roman" w:hAnsi="Times New Roman"/>
          <w:sz w:val="15"/>
          <w:szCs w:val="15"/>
          <w:color w:val="auto"/>
        </w:rPr>
        <w:t xml:space="preserve">”), the UK Bribery Act 2010, or any applicable law or regulation implementing the OECD Convention on Combating Bribery of Foreign Public Officials in International Business Transactions, or committed an offence under the Bribery Act 2010 of the United Kingdom, Articles 432-11 </w:t>
      </w:r>
      <w:r>
        <w:rPr>
          <w:rFonts w:ascii="Times New Roman" w:cs="Times New Roman" w:eastAsia="Times New Roman" w:hAnsi="Times New Roman"/>
          <w:sz w:val="15"/>
          <w:szCs w:val="15"/>
          <w:i w:val="1"/>
          <w:iCs w:val="1"/>
          <w:color w:val="auto"/>
        </w:rPr>
        <w:t>et seq.</w:t>
      </w:r>
      <w:r>
        <w:rPr>
          <w:rFonts w:ascii="Times New Roman" w:cs="Times New Roman" w:eastAsia="Times New Roman" w:hAnsi="Times New Roman"/>
          <w:sz w:val="15"/>
          <w:szCs w:val="15"/>
          <w:color w:val="auto"/>
        </w:rPr>
        <w:t xml:space="preserve">, 433-1 and 433-2, 433-22 to 433-25, 435-1 </w:t>
      </w:r>
      <w:r>
        <w:rPr>
          <w:rFonts w:ascii="Times New Roman" w:cs="Times New Roman" w:eastAsia="Times New Roman" w:hAnsi="Times New Roman"/>
          <w:sz w:val="15"/>
          <w:szCs w:val="15"/>
          <w:i w:val="1"/>
          <w:iCs w:val="1"/>
          <w:color w:val="auto"/>
        </w:rPr>
        <w:t>et seq.</w:t>
      </w:r>
      <w:r>
        <w:rPr>
          <w:rFonts w:ascii="Times New Roman" w:cs="Times New Roman" w:eastAsia="Times New Roman" w:hAnsi="Times New Roman"/>
          <w:sz w:val="15"/>
          <w:szCs w:val="15"/>
          <w:color w:val="auto"/>
        </w:rPr>
        <w:t xml:space="preserve"> and 445-1 </w:t>
      </w:r>
      <w:r>
        <w:rPr>
          <w:rFonts w:ascii="Times New Roman" w:cs="Times New Roman" w:eastAsia="Times New Roman" w:hAnsi="Times New Roman"/>
          <w:sz w:val="15"/>
          <w:szCs w:val="15"/>
          <w:i w:val="1"/>
          <w:iCs w:val="1"/>
          <w:color w:val="auto"/>
        </w:rPr>
        <w:t>et seq.</w:t>
      </w:r>
      <w:r>
        <w:rPr>
          <w:rFonts w:ascii="Times New Roman" w:cs="Times New Roman" w:eastAsia="Times New Roman" w:hAnsi="Times New Roman"/>
          <w:sz w:val="15"/>
          <w:szCs w:val="15"/>
          <w:color w:val="auto"/>
        </w:rPr>
        <w:t xml:space="preserve"> of the French Criminal Code, or any other applicable anti-bribery or anti-corruption law of the European Union or any other jurisdiction in which the Company conducts its business; or (iv) made, offered, authorized or requested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21" w:name="page22"/>
    <w:bookmarkEnd w:id="21"/>
    <w:p>
      <w:pPr>
        <w:jc w:val="both"/>
        <w:ind w:firstLine="530"/>
        <w:spacing w:after="0" w:line="256" w:lineRule="auto"/>
        <w:tabs>
          <w:tab w:leader="none" w:pos="1378" w:val="left"/>
        </w:tabs>
        <w:numPr>
          <w:ilvl w:val="0"/>
          <w:numId w:val="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Money Laundering Laws</w:t>
      </w:r>
      <w:r>
        <w:rPr>
          <w:rFonts w:ascii="Times New Roman" w:cs="Times New Roman" w:eastAsia="Times New Roman" w:hAnsi="Times New Roman"/>
          <w:sz w:val="15"/>
          <w:szCs w:val="15"/>
          <w:color w:val="auto"/>
        </w:rPr>
        <w:t xml:space="preserve">.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including but not limited to, the </w:t>
      </w:r>
      <w:r>
        <w:rPr>
          <w:rFonts w:ascii="Times New Roman" w:cs="Times New Roman" w:eastAsia="Times New Roman" w:hAnsi="Times New Roman"/>
          <w:sz w:val="15"/>
          <w:szCs w:val="15"/>
          <w:i w:val="1"/>
          <w:iCs w:val="1"/>
          <w:color w:val="auto"/>
        </w:rPr>
        <w:t>Cellule française de lutte contre le blanchiment de capitaux et le financement du terrorisme</w:t>
      </w:r>
      <w:r>
        <w:rPr>
          <w:rFonts w:ascii="Times New Roman" w:cs="Times New Roman" w:eastAsia="Times New Roman" w:hAnsi="Times New Roman"/>
          <w:sz w:val="15"/>
          <w:szCs w:val="15"/>
          <w:color w:val="auto"/>
        </w:rPr>
        <w:t xml:space="preserve"> (TRACFIN) and the </w:t>
      </w:r>
      <w:r>
        <w:rPr>
          <w:rFonts w:ascii="Times New Roman" w:cs="Times New Roman" w:eastAsia="Times New Roman" w:hAnsi="Times New Roman"/>
          <w:sz w:val="15"/>
          <w:szCs w:val="15"/>
          <w:i w:val="1"/>
          <w:iCs w:val="1"/>
          <w:color w:val="auto"/>
        </w:rPr>
        <w:t>Office central pour la répression de la grande délinquance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financière </w:t>
      </w:r>
      <w:r>
        <w:rPr>
          <w:rFonts w:ascii="Times New Roman" w:cs="Times New Roman" w:eastAsia="Times New Roman" w:hAnsi="Times New Roman"/>
          <w:sz w:val="15"/>
          <w:szCs w:val="15"/>
          <w:color w:val="auto"/>
        </w:rPr>
        <w:t>(OCRGDF) (collectively, the “</w:t>
      </w:r>
      <w:r>
        <w:rPr>
          <w:rFonts w:ascii="Times New Roman" w:cs="Times New Roman" w:eastAsia="Times New Roman" w:hAnsi="Times New Roman"/>
          <w:sz w:val="15"/>
          <w:szCs w:val="15"/>
          <w:b w:val="1"/>
          <w:bCs w:val="1"/>
          <w:color w:val="auto"/>
        </w:rPr>
        <w:t>Money Laundering Laws</w:t>
      </w:r>
      <w:r>
        <w:rPr>
          <w:rFonts w:ascii="Times New Roman" w:cs="Times New Roman" w:eastAsia="Times New Roman" w:hAnsi="Times New Roman"/>
          <w:sz w:val="15"/>
          <w:szCs w:val="15"/>
          <w:color w:val="auto"/>
        </w:rPr>
        <w:t>”) and no action, suit or proceeding by or before any court or governmental agency, authority or body or any arbitrator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involving the Company or any of its subsidiaries with respect to the Money Laundering Laws is pending or, to the knowledge of the Company, threatened.</w:t>
      </w:r>
    </w:p>
    <w:p>
      <w:pPr>
        <w:spacing w:after="0" w:line="156" w:lineRule="exact"/>
        <w:rPr>
          <w:rFonts w:ascii="Times New Roman" w:cs="Times New Roman" w:eastAsia="Times New Roman" w:hAnsi="Times New Roman"/>
          <w:sz w:val="15"/>
          <w:szCs w:val="15"/>
          <w:b w:val="1"/>
          <w:bCs w:val="1"/>
          <w:color w:val="auto"/>
        </w:rPr>
      </w:pPr>
    </w:p>
    <w:p>
      <w:pPr>
        <w:jc w:val="both"/>
        <w:ind w:firstLine="530"/>
        <w:spacing w:after="0" w:line="253" w:lineRule="auto"/>
        <w:tabs>
          <w:tab w:leader="none" w:pos="1283" w:val="left"/>
        </w:tabs>
        <w:numPr>
          <w:ilvl w:val="0"/>
          <w:numId w:val="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Sanctions.</w:t>
      </w:r>
      <w:r>
        <w:rPr>
          <w:rFonts w:ascii="Times New Roman" w:cs="Times New Roman" w:eastAsia="Times New Roman" w:hAnsi="Times New Roman"/>
          <w:sz w:val="15"/>
          <w:szCs w:val="15"/>
          <w:color w:val="auto"/>
        </w:rPr>
        <w:t xml:space="preserve"> Neither the Company nor any of its subsidiaries, nor, to the knowledge of the Company, after due inquiry, any board member, officer, agent, employee, affiliate or other person acting on behalf of the Company (except for the Underwriters, in respect of which the Company makes no representation) or any of its subsidiaries is currently the subject or the target of any U.S. sanctions administered by the Office of Foreign Assets Control of the U.S. Department of the Treasury (“</w:t>
      </w:r>
      <w:r>
        <w:rPr>
          <w:rFonts w:ascii="Times New Roman" w:cs="Times New Roman" w:eastAsia="Times New Roman" w:hAnsi="Times New Roman"/>
          <w:sz w:val="15"/>
          <w:szCs w:val="15"/>
          <w:b w:val="1"/>
          <w:bCs w:val="1"/>
          <w:color w:val="auto"/>
        </w:rPr>
        <w:t>OFAC</w:t>
      </w:r>
      <w:r>
        <w:rPr>
          <w:rFonts w:ascii="Times New Roman" w:cs="Times New Roman" w:eastAsia="Times New Roman" w:hAnsi="Times New Roman"/>
          <w:sz w:val="15"/>
          <w:szCs w:val="15"/>
          <w:color w:val="auto"/>
        </w:rPr>
        <w:t>”) or the U.S. Department of State, the United Nations Security Council, the European Union, His Majesty’s Treasury of the United Kingdom, any French government agency or other relevant sanctions authority (collectively, “</w:t>
      </w:r>
      <w:r>
        <w:rPr>
          <w:rFonts w:ascii="Times New Roman" w:cs="Times New Roman" w:eastAsia="Times New Roman" w:hAnsi="Times New Roman"/>
          <w:sz w:val="15"/>
          <w:szCs w:val="15"/>
          <w:b w:val="1"/>
          <w:bCs w:val="1"/>
          <w:color w:val="auto"/>
        </w:rPr>
        <w:t>Sanctions</w:t>
      </w:r>
      <w:r>
        <w:rPr>
          <w:rFonts w:ascii="Times New Roman" w:cs="Times New Roman" w:eastAsia="Times New Roman" w:hAnsi="Times New Roman"/>
          <w:sz w:val="15"/>
          <w:szCs w:val="15"/>
          <w:color w:val="auto"/>
        </w:rPr>
        <w:t>”); nor is the Company or any of its subsidiaries located, organized or resident in a country or territory that is the subject or the target of Sanctions, including, without limitation, Russia, Belarus, Crimea, Donetsk People’s Republic and Luhansk People’s Republic regions of Ukraine, Cuba, Iran, North Korea, and Syria (each, a “</w:t>
      </w:r>
      <w:r>
        <w:rPr>
          <w:rFonts w:ascii="Times New Roman" w:cs="Times New Roman" w:eastAsia="Times New Roman" w:hAnsi="Times New Roman"/>
          <w:sz w:val="15"/>
          <w:szCs w:val="15"/>
          <w:b w:val="1"/>
          <w:bCs w:val="1"/>
          <w:color w:val="auto"/>
        </w:rPr>
        <w:t>Sanctioned Country</w:t>
      </w:r>
      <w:r>
        <w:rPr>
          <w:rFonts w:ascii="Times New Roman" w:cs="Times New Roman" w:eastAsia="Times New Roman" w:hAnsi="Times New Roman"/>
          <w:sz w:val="15"/>
          <w:szCs w:val="15"/>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59" w:lineRule="exact"/>
        <w:rPr>
          <w:rFonts w:ascii="Times New Roman" w:cs="Times New Roman" w:eastAsia="Times New Roman" w:hAnsi="Times New Roman"/>
          <w:sz w:val="15"/>
          <w:szCs w:val="15"/>
          <w:b w:val="1"/>
          <w:bCs w:val="1"/>
          <w:color w:val="auto"/>
        </w:rPr>
      </w:pPr>
    </w:p>
    <w:p>
      <w:pPr>
        <w:jc w:val="both"/>
        <w:ind w:firstLine="530"/>
        <w:spacing w:after="0" w:line="258" w:lineRule="auto"/>
        <w:tabs>
          <w:tab w:leader="none" w:pos="1199" w:val="left"/>
        </w:tabs>
        <w:numPr>
          <w:ilvl w:val="0"/>
          <w:numId w:val="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Outbound Investment Security Program</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 w:cs="Times New Roman" w:eastAsia="Times New Roman" w:hAnsi="Times New Roman"/>
          <w:sz w:val="15"/>
          <w:szCs w:val="15"/>
          <w:b w:val="1"/>
          <w:bCs w:val="1"/>
          <w:color w:val="auto"/>
        </w:rPr>
        <w:t>Covered Activity</w:t>
      </w:r>
      <w:r>
        <w:rPr>
          <w:rFonts w:ascii="Times New Roman" w:cs="Times New Roman" w:eastAsia="Times New Roman" w:hAnsi="Times New Roman"/>
          <w:sz w:val="15"/>
          <w:szCs w:val="15"/>
          <w:color w:val="auto"/>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155" w:lineRule="exact"/>
        <w:rPr>
          <w:rFonts w:ascii="Times New Roman" w:cs="Times New Roman" w:eastAsia="Times New Roman" w:hAnsi="Times New Roman"/>
          <w:sz w:val="15"/>
          <w:szCs w:val="15"/>
          <w:b w:val="1"/>
          <w:bCs w:val="1"/>
          <w:color w:val="auto"/>
        </w:rPr>
      </w:pPr>
    </w:p>
    <w:p>
      <w:pPr>
        <w:ind w:firstLine="530"/>
        <w:spacing w:after="0" w:line="280" w:lineRule="auto"/>
        <w:tabs>
          <w:tab w:leader="none" w:pos="1193" w:val="left"/>
        </w:tabs>
        <w:numPr>
          <w:ilvl w:val="0"/>
          <w:numId w:val="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Brokers</w:t>
      </w:r>
      <w:r>
        <w:rPr>
          <w:rFonts w:ascii="Times New Roman" w:cs="Times New Roman" w:eastAsia="Times New Roman" w:hAnsi="Times New Roman"/>
          <w:sz w:val="15"/>
          <w:szCs w:val="15"/>
          <w:color w:val="auto"/>
        </w:rPr>
        <w:t>. Except pursuant to this Agreement, there is no broker, finder or other party that is entitled to receive from the Company any brokerage or finder’s fee or other fee or commission as a result of any transactions contemplated by this Agreement.</w:t>
      </w:r>
    </w:p>
    <w:p>
      <w:pPr>
        <w:spacing w:after="0" w:line="137" w:lineRule="exact"/>
        <w:rPr>
          <w:rFonts w:ascii="Times New Roman" w:cs="Times New Roman" w:eastAsia="Times New Roman" w:hAnsi="Times New Roman"/>
          <w:sz w:val="15"/>
          <w:szCs w:val="15"/>
          <w:b w:val="1"/>
          <w:bCs w:val="1"/>
          <w:color w:val="auto"/>
        </w:rPr>
      </w:pPr>
    </w:p>
    <w:p>
      <w:pPr>
        <w:jc w:val="both"/>
        <w:ind w:firstLine="530"/>
        <w:spacing w:after="0" w:line="257" w:lineRule="auto"/>
        <w:tabs>
          <w:tab w:leader="none" w:pos="1306" w:val="left"/>
        </w:tabs>
        <w:numPr>
          <w:ilvl w:val="0"/>
          <w:numId w:val="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Submission to Jurisdiction</w:t>
      </w:r>
      <w:r>
        <w:rPr>
          <w:rFonts w:ascii="Times New Roman" w:cs="Times New Roman" w:eastAsia="Times New Roman" w:hAnsi="Times New Roman"/>
          <w:sz w:val="15"/>
          <w:szCs w:val="15"/>
          <w:color w:val="auto"/>
        </w:rPr>
        <w:t>. The Company has the power to submit, and pursuant to Section 19 of this Agreement, has legally, validly, effectively and irrevocably submitted, to the personal jurisdiction of each United States federal court and New York state court located in the Borough of Manhattan, in the City of New York, New York, U.S.A. (each, a “</w:t>
      </w:r>
      <w:r>
        <w:rPr>
          <w:rFonts w:ascii="Times New Roman" w:cs="Times New Roman" w:eastAsia="Times New Roman" w:hAnsi="Times New Roman"/>
          <w:sz w:val="15"/>
          <w:szCs w:val="15"/>
          <w:b w:val="1"/>
          <w:bCs w:val="1"/>
          <w:color w:val="auto"/>
        </w:rPr>
        <w:t>New York Court</w:t>
      </w:r>
      <w:r>
        <w:rPr>
          <w:rFonts w:ascii="Times New Roman" w:cs="Times New Roman" w:eastAsia="Times New Roman" w:hAnsi="Times New Roman"/>
          <w:sz w:val="15"/>
          <w:szCs w:val="15"/>
          <w:color w:val="auto"/>
        </w:rPr>
        <w:t>”), and the Company has the power to designate, appoint and authorize, and pursuant to Section 19 of this Agreement, has legally, validly, effectively and irrevocably designated, appointed and authorized an agent for service of process in any action arising out of or relating to this Agreement or the Offered Securities in any New York Court, and service of process effected on such authorized agent will be effective to confer valid personal jurisdiction over the Company as provided in Section 19 hereof.</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2" w:name="page23"/>
    <w:bookmarkEnd w:id="22"/>
    <w:p>
      <w:pPr>
        <w:jc w:val="both"/>
        <w:ind w:firstLine="530"/>
        <w:spacing w:after="0" w:line="254" w:lineRule="auto"/>
        <w:tabs>
          <w:tab w:leader="none" w:pos="1205" w:val="left"/>
        </w:tabs>
        <w:numPr>
          <w:ilvl w:val="0"/>
          <w:numId w:val="2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Rights of Immunity</w:t>
      </w:r>
      <w:r>
        <w:rPr>
          <w:rFonts w:ascii="Times New Roman" w:cs="Times New Roman" w:eastAsia="Times New Roman" w:hAnsi="Times New Roman"/>
          <w:sz w:val="15"/>
          <w:szCs w:val="15"/>
          <w:color w:val="auto"/>
        </w:rPr>
        <w:t>. Except as provided by laws or statutes generally applicable to transactions of the type described in this Agreement, neither the Company nor any of its respective properties, assets or revenues has any right of immunity under French, New York or United States law, from any legal action, suit or proceeding, from the giving of any relief in any such legal action, suit or proceeding, from set-off or counterclaim, from the jurisdiction of any French,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19 of this Agreement.</w:t>
      </w:r>
    </w:p>
    <w:p>
      <w:pPr>
        <w:spacing w:after="0" w:line="160" w:lineRule="exact"/>
        <w:rPr>
          <w:rFonts w:ascii="Times New Roman" w:cs="Times New Roman" w:eastAsia="Times New Roman" w:hAnsi="Times New Roman"/>
          <w:sz w:val="15"/>
          <w:szCs w:val="15"/>
          <w:b w:val="1"/>
          <w:bCs w:val="1"/>
          <w:color w:val="auto"/>
        </w:rPr>
      </w:pPr>
    </w:p>
    <w:p>
      <w:pPr>
        <w:jc w:val="both"/>
        <w:ind w:firstLine="530"/>
        <w:spacing w:after="0" w:line="255" w:lineRule="auto"/>
        <w:tabs>
          <w:tab w:leader="none" w:pos="1290" w:val="left"/>
        </w:tabs>
        <w:numPr>
          <w:ilvl w:val="0"/>
          <w:numId w:val="2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Enforceability of Judgments</w:t>
      </w:r>
      <w:r>
        <w:rPr>
          <w:rFonts w:ascii="Times New Roman" w:cs="Times New Roman" w:eastAsia="Times New Roman" w:hAnsi="Times New Roman"/>
          <w:sz w:val="15"/>
          <w:szCs w:val="15"/>
          <w:color w:val="auto"/>
        </w:rPr>
        <w:t>. Any final judgment for a fixed or readily calculable sum of money rendered by a New York Court in respect of any suit, action or proceeding against the Company based upon this Agreement or the Deposit Agreement would be recognized and enforced in France, without a review of the substantive matters thereby adjudicated, through an action for exequatur brought before the competent French court (subject to appeal against the exequatur order itself, again without a review of the substantive matters adjudicated by the relevant final judgment, and subject to further recourse before the French Supreme Court, again without a review of the substantive matters adjudicated by the relevant final judgment), provided that such French court is provided with a French-language version of this Agreement, and/or the Deposit Agreement, or relevant excerpts thereof to the extent required and both the original and a translation into French (by a sworn translator) of the relevant final judgment and other relevant documents and determines that the requirements developed by case law for the enforcement of foreign judgments are satisfied, in particular that:</w:t>
      </w:r>
    </w:p>
    <w:p>
      <w:pPr>
        <w:spacing w:after="0" w:line="157" w:lineRule="exact"/>
        <w:rPr>
          <w:rFonts w:ascii="Times New Roman" w:cs="Times New Roman" w:eastAsia="Times New Roman" w:hAnsi="Times New Roman"/>
          <w:sz w:val="15"/>
          <w:szCs w:val="15"/>
          <w:b w:val="1"/>
          <w:bCs w:val="1"/>
          <w:color w:val="auto"/>
        </w:rPr>
      </w:pPr>
    </w:p>
    <w:p>
      <w:pPr>
        <w:ind w:firstLine="1071"/>
        <w:spacing w:after="0" w:line="280" w:lineRule="auto"/>
        <w:tabs>
          <w:tab w:leader="none" w:pos="1657"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final judgment was rendered by a court having jurisdiction over the matter, as the dispute is clearly connected to the jurisdiction of such court (i.e., there was no international forum-shopping), the choice of the New York Court was not fraudulent and the French courts did not have exclusive jurisdiction over the matter;</w:t>
      </w:r>
    </w:p>
    <w:p>
      <w:pPr>
        <w:spacing w:after="0" w:line="137" w:lineRule="exact"/>
        <w:rPr>
          <w:rFonts w:ascii="Times New Roman" w:cs="Times New Roman" w:eastAsia="Times New Roman" w:hAnsi="Times New Roman"/>
          <w:sz w:val="15"/>
          <w:szCs w:val="15"/>
          <w:color w:val="auto"/>
        </w:rPr>
      </w:pPr>
    </w:p>
    <w:p>
      <w:pPr>
        <w:ind w:left="1680" w:hanging="609"/>
        <w:spacing w:after="0"/>
        <w:tabs>
          <w:tab w:leader="none" w:pos="1680"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final judgment does not contravene French international public policy rules, both pertaining to the merits and to the procedure of the case, including fair</w:t>
      </w:r>
    </w:p>
    <w:p>
      <w:pPr>
        <w:spacing w:after="0" w:line="2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trial rights; and</w:t>
      </w:r>
    </w:p>
    <w:p>
      <w:pPr>
        <w:spacing w:after="0" w:line="174" w:lineRule="exact"/>
        <w:rPr>
          <w:rFonts w:ascii="Times New Roman" w:cs="Times New Roman" w:eastAsia="Times New Roman" w:hAnsi="Times New Roman"/>
          <w:sz w:val="15"/>
          <w:szCs w:val="15"/>
          <w:color w:val="auto"/>
        </w:rPr>
      </w:pPr>
    </w:p>
    <w:p>
      <w:pPr>
        <w:ind w:firstLine="1071"/>
        <w:spacing w:after="0" w:line="280" w:lineRule="auto"/>
        <w:tabs>
          <w:tab w:leader="none" w:pos="1734"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final judgment is not tainted with fraud under French law (i.e., the parties did not submit the dispute to a foreign court in order to maliciously avoid the application of French law) and does not conflict with a French judgment or a foreign judgment having the same subject-matter that has become effective in France.</w:t>
      </w:r>
    </w:p>
    <w:p>
      <w:pPr>
        <w:spacing w:after="0" w:line="137" w:lineRule="exact"/>
        <w:rPr>
          <w:rFonts w:ascii="Times New Roman" w:cs="Times New Roman" w:eastAsia="Times New Roman" w:hAnsi="Times New Roman"/>
          <w:sz w:val="15"/>
          <w:szCs w:val="15"/>
          <w:color w:val="auto"/>
        </w:rPr>
      </w:pPr>
    </w:p>
    <w:p>
      <w:pPr>
        <w:jc w:val="both"/>
        <w:ind w:firstLine="530"/>
        <w:spacing w:after="0" w:line="183" w:lineRule="exact"/>
        <w:tabs>
          <w:tab w:leader="none" w:pos="1138" w:val="left"/>
        </w:tabs>
        <w:numPr>
          <w:ilvl w:val="0"/>
          <w:numId w:val="2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Forward-Looking Statements</w:t>
      </w:r>
      <w:r>
        <w:rPr>
          <w:rFonts w:ascii="Times New Roman" w:cs="Times New Roman" w:eastAsia="Times New Roman" w:hAnsi="Times New Roman"/>
          <w:sz w:val="15"/>
          <w:szCs w:val="15"/>
          <w:color w:val="auto"/>
        </w:rPr>
        <w:t>. Each financial or operational projection or other “forward-looking statement” (as defined by Section 27A of the Securities Act or Section 21E of the Exchange Act) contained in the Registration Statement, the Time of Sale Prospectus, the Prospectus or the French Public Disclosure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looking statement. No such statement was made with the knowledge of an executive officer or director of the Company that it was false or misleading.</w:t>
      </w:r>
    </w:p>
    <w:p>
      <w:pPr>
        <w:spacing w:after="0" w:line="167" w:lineRule="exact"/>
        <w:rPr>
          <w:rFonts w:ascii="Times New Roman" w:cs="Times New Roman" w:eastAsia="Times New Roman" w:hAnsi="Times New Roman"/>
          <w:sz w:val="15"/>
          <w:szCs w:val="15"/>
          <w:b w:val="1"/>
          <w:bCs w:val="1"/>
          <w:color w:val="auto"/>
        </w:rPr>
      </w:pPr>
    </w:p>
    <w:p>
      <w:pPr>
        <w:jc w:val="both"/>
        <w:ind w:firstLine="530"/>
        <w:spacing w:after="0" w:line="254" w:lineRule="auto"/>
        <w:tabs>
          <w:tab w:leader="none" w:pos="1340" w:val="left"/>
        </w:tabs>
        <w:numPr>
          <w:ilvl w:val="0"/>
          <w:numId w:val="2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Compliance with The Sarbanes-Oxley Act and Nasdaq Governance Requirements</w:t>
      </w:r>
      <w:r>
        <w:rPr>
          <w:rFonts w:ascii="Times New Roman" w:cs="Times New Roman" w:eastAsia="Times New Roman" w:hAnsi="Times New Roman"/>
          <w:sz w:val="15"/>
          <w:szCs w:val="15"/>
          <w:color w:val="auto"/>
        </w:rPr>
        <w:t>. The Company is in compliance in all material respects with all applicable (i) provisions of the Sarbanes-Oxley Act of 2002 and rules and regulations promulgated thereunder or implementing the provisions thereof (collectively, the “</w:t>
      </w:r>
      <w:r>
        <w:rPr>
          <w:rFonts w:ascii="Times New Roman" w:cs="Times New Roman" w:eastAsia="Times New Roman" w:hAnsi="Times New Roman"/>
          <w:sz w:val="15"/>
          <w:szCs w:val="15"/>
          <w:b w:val="1"/>
          <w:bCs w:val="1"/>
          <w:color w:val="auto"/>
        </w:rPr>
        <w:t>Sarbanes-Oxley Act</w:t>
      </w:r>
      <w:r>
        <w:rPr>
          <w:rFonts w:ascii="Times New Roman" w:cs="Times New Roman" w:eastAsia="Times New Roman" w:hAnsi="Times New Roman"/>
          <w:sz w:val="15"/>
          <w:szCs w:val="15"/>
          <w:color w:val="auto"/>
        </w:rPr>
        <w:t>”) that are then in effect and with which the Company is required to comply, and is or will be taking steps to ensure that it will be in compliance in all material respects with other provisions of the Sarbanes-Oxley Act not currently in effect, upon the effectiveness of such provisions and their becoming applicable to the Company and (ii) corporate governance requirements under Nasdaq regulations and, in each case, has no reason to believe that it will not be able to comply with any of such provisions. There is and has been no failure on the part of the Company or any of its directors or officers, in their capacities as such, to comply with any applicable provisions of the Sarbanes-Oxley Act, including without limitation, Sections 302 and 906 related to certifications.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3" w:name="page24"/>
    <w:bookmarkEnd w:id="23"/>
    <w:p>
      <w:pPr>
        <w:jc w:val="both"/>
        <w:ind w:firstLine="530"/>
        <w:spacing w:after="0" w:line="252" w:lineRule="auto"/>
        <w:tabs>
          <w:tab w:leader="none" w:pos="1402" w:val="left"/>
        </w:tabs>
        <w:numPr>
          <w:ilvl w:val="0"/>
          <w:numId w:val="2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Cybersecurit</w:t>
      </w:r>
      <w:r>
        <w:rPr>
          <w:rFonts w:ascii="Times New Roman" w:cs="Times New Roman" w:eastAsia="Times New Roman" w:hAnsi="Times New Roman"/>
          <w:sz w:val="15"/>
          <w:szCs w:val="15"/>
          <w:color w:val="auto"/>
        </w:rPr>
        <w:t>y.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5"/>
          <w:szCs w:val="15"/>
          <w:b w:val="1"/>
          <w:bCs w:val="1"/>
          <w:color w:val="auto"/>
        </w:rPr>
        <w:t>IT Systems</w:t>
      </w:r>
      <w:r>
        <w:rPr>
          <w:rFonts w:ascii="Times New Roman" w:cs="Times New Roman" w:eastAsia="Times New Roman" w:hAnsi="Times New Roman"/>
          <w:sz w:val="15"/>
          <w:szCs w:val="15"/>
          <w:color w:val="auto"/>
        </w:rPr>
        <w:t>”) are adequate for, and operate and perform in all material respects as required in connection with the operation of the business of the Company and its subsidiaries as currently conducted, free and clear, to the Company’s knowledge, of all material bugs, errors, defects, Trojan horses, time bombs, malware and other corruptants. The Company and its subsidiaries have implemented and maintained controls, policies, procedures, and safeguards consistent with industry standards and practices for similarly-situated companies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5"/>
          <w:szCs w:val="15"/>
          <w:b w:val="1"/>
          <w:bCs w:val="1"/>
          <w:color w:val="auto"/>
        </w:rPr>
        <w:t>Personal Data</w:t>
      </w:r>
      <w:r>
        <w:rPr>
          <w:rFonts w:ascii="Times New Roman" w:cs="Times New Roman" w:eastAsia="Times New Roman" w:hAnsi="Times New Roman"/>
          <w:sz w:val="15"/>
          <w:szCs w:val="15"/>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(EU 2016/679) (“</w:t>
      </w:r>
      <w:r>
        <w:rPr>
          <w:rFonts w:ascii="Times New Roman" w:cs="Times New Roman" w:eastAsia="Times New Roman" w:hAnsi="Times New Roman"/>
          <w:sz w:val="15"/>
          <w:szCs w:val="15"/>
          <w:b w:val="1"/>
          <w:bCs w:val="1"/>
          <w:color w:val="auto"/>
        </w:rPr>
        <w:t>GDPR</w:t>
      </w:r>
      <w:r>
        <w:rPr>
          <w:rFonts w:ascii="Times New Roman" w:cs="Times New Roman" w:eastAsia="Times New Roman" w:hAnsi="Times New Roman"/>
          <w:sz w:val="15"/>
          <w:szCs w:val="15"/>
          <w:color w:val="auto"/>
        </w:rPr>
        <w:t>”); and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5"/>
          <w:szCs w:val="15"/>
          <w:b w:val="1"/>
          <w:bCs w:val="1"/>
          <w:color w:val="auto"/>
        </w:rPr>
        <w:t>HIPAA</w:t>
      </w:r>
      <w:r>
        <w:rPr>
          <w:rFonts w:ascii="Times New Roman" w:cs="Times New Roman" w:eastAsia="Times New Roman" w:hAnsi="Times New Roman"/>
          <w:sz w:val="15"/>
          <w:szCs w:val="15"/>
          <w:color w:val="auto"/>
        </w:rPr>
        <w:t>”). Except as would not reasonably be expected, individually or in the aggregate, to have a Material Adverse Effect,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64" w:lineRule="exact"/>
        <w:rPr>
          <w:rFonts w:ascii="Times New Roman" w:cs="Times New Roman" w:eastAsia="Times New Roman" w:hAnsi="Times New Roman"/>
          <w:sz w:val="15"/>
          <w:szCs w:val="15"/>
          <w:b w:val="1"/>
          <w:bCs w:val="1"/>
          <w:color w:val="auto"/>
        </w:rPr>
      </w:pPr>
    </w:p>
    <w:p>
      <w:pPr>
        <w:jc w:val="both"/>
        <w:ind w:firstLine="530"/>
        <w:spacing w:after="0" w:line="254" w:lineRule="auto"/>
        <w:tabs>
          <w:tab w:leader="none" w:pos="1322" w:val="left"/>
        </w:tabs>
        <w:numPr>
          <w:ilvl w:val="0"/>
          <w:numId w:val="2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Compliance with Data Privacy Laws</w:t>
      </w:r>
      <w:r>
        <w:rPr>
          <w:rFonts w:ascii="Times New Roman" w:cs="Times New Roman" w:eastAsia="Times New Roman" w:hAnsi="Times New Roman"/>
          <w:sz w:val="15"/>
          <w:szCs w:val="15"/>
          <w:color w:val="auto"/>
        </w:rPr>
        <w:t>. The Company and its subsidiaries are, to the extent applicable to the Company’s operations, in material compliance with all applicable state and federal data privacy and security laws, rules and regulations, including without limitation HIPAA, and the Company and its subsidiaries have defined a compliance program to be implemented in order to comply with GDPR (collectively, the “</w:t>
      </w:r>
      <w:r>
        <w:rPr>
          <w:rFonts w:ascii="Times New Roman" w:cs="Times New Roman" w:eastAsia="Times New Roman" w:hAnsi="Times New Roman"/>
          <w:sz w:val="15"/>
          <w:szCs w:val="15"/>
          <w:b w:val="1"/>
          <w:bCs w:val="1"/>
          <w:color w:val="auto"/>
        </w:rPr>
        <w:t>Privacy Laws</w:t>
      </w:r>
      <w:r>
        <w:rPr>
          <w:rFonts w:ascii="Times New Roman" w:cs="Times New Roman" w:eastAsia="Times New Roman" w:hAnsi="Times New Roman"/>
          <w:sz w:val="15"/>
          <w:szCs w:val="15"/>
          <w:color w:val="auto"/>
        </w:rPr>
        <w:t>”).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5"/>
          <w:szCs w:val="15"/>
          <w:b w:val="1"/>
          <w:bCs w:val="1"/>
          <w:color w:val="auto"/>
        </w:rPr>
        <w:t>Policies</w:t>
      </w:r>
      <w:r>
        <w:rPr>
          <w:rFonts w:ascii="Times New Roman" w:cs="Times New Roman" w:eastAsia="Times New Roman" w:hAnsi="Times New Roman"/>
          <w:sz w:val="15"/>
          <w:szCs w:val="15"/>
          <w:color w:val="auto"/>
        </w:rPr>
        <w:t>”). The Company and its subsidiaries have at all times made all material disclosures to users or customers required by applicable laws and regulatory rules or requirements, and none of such disclosures made or contained in any Policy have been inaccurate or in violation of any applicable laws and regulatory rules or requirements in any material respect. Neither the Company nor any of its subsidiaries: (i) has received notice alleging any actual or potential liability under or relating to, or actual or potential violation of, any of the Privacy Laws; (ii) is currently conducting or paying for, in whole or in part, any investigation, remediation, or other corrective action pursuant to any Privacy Law; or (iii) is a party to any order, decree, or agreement that imposes any material obligation or liability under any Privacy Law.</w:t>
      </w:r>
    </w:p>
    <w:p>
      <w:pPr>
        <w:spacing w:after="0" w:line="158" w:lineRule="exact"/>
        <w:rPr>
          <w:rFonts w:ascii="Times New Roman" w:cs="Times New Roman" w:eastAsia="Times New Roman" w:hAnsi="Times New Roman"/>
          <w:sz w:val="15"/>
          <w:szCs w:val="15"/>
          <w:b w:val="1"/>
          <w:bCs w:val="1"/>
          <w:color w:val="auto"/>
        </w:rPr>
      </w:pPr>
    </w:p>
    <w:p>
      <w:pPr>
        <w:ind w:left="1160" w:hanging="630"/>
        <w:spacing w:after="0"/>
        <w:tabs>
          <w:tab w:leader="none" w:pos="1160" w:val="left"/>
        </w:tabs>
        <w:numPr>
          <w:ilvl w:val="0"/>
          <w:numId w:val="2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Reserved</w:t>
      </w:r>
      <w:r>
        <w:rPr>
          <w:rFonts w:ascii="Times New Roman" w:cs="Times New Roman" w:eastAsia="Times New Roman" w:hAnsi="Times New Roman"/>
          <w:sz w:val="15"/>
          <w:szCs w:val="15"/>
          <w:color w:val="auto"/>
        </w:rPr>
        <w:t>.]</w:t>
      </w:r>
    </w:p>
    <w:p>
      <w:pPr>
        <w:spacing w:after="0" w:line="187" w:lineRule="exact"/>
        <w:rPr>
          <w:rFonts w:ascii="Times New Roman" w:cs="Times New Roman" w:eastAsia="Times New Roman" w:hAnsi="Times New Roman"/>
          <w:sz w:val="15"/>
          <w:szCs w:val="15"/>
          <w:b w:val="1"/>
          <w:bCs w:val="1"/>
          <w:color w:val="auto"/>
        </w:rPr>
      </w:pPr>
    </w:p>
    <w:p>
      <w:pPr>
        <w:jc w:val="both"/>
        <w:ind w:firstLine="530"/>
        <w:spacing w:after="0" w:line="253" w:lineRule="auto"/>
        <w:tabs>
          <w:tab w:leader="none" w:pos="1289" w:val="left"/>
        </w:tabs>
        <w:numPr>
          <w:ilvl w:val="0"/>
          <w:numId w:val="2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Communications</w:t>
      </w:r>
      <w:r>
        <w:rPr>
          <w:rFonts w:ascii="Times New Roman" w:cs="Times New Roman" w:eastAsia="Times New Roman" w:hAnsi="Times New Roman"/>
          <w:sz w:val="15"/>
          <w:szCs w:val="15"/>
          <w:color w:val="auto"/>
        </w:rPr>
        <w:t>. The Company (i) has not alone engaged in communications with potential investors in reliance on Section 5(d) of the Securities Act other than Permitted Section 5(d) Communications with the consent of the Representatives with entities that are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the Prospectus and the French Public Disclosure; provided that the Company makes no representation or warranty with respect to any statements or omissions made in each such Permitted Section 5(d) Communication in reliance upon and in conformity with written information furnished to the Company in writing by the Representatives expressly for use in such Permitted Section 5(d) Communication, it being understood and agreed that the only such information furnished by the Representatives consists of the information described as such in Section 9(b) hereof; and (iii) the Company has filed publicly on EDGAR, at least 48 hours prior to the effectiveness of the Registration Statement in accordance with Rule 461 under the Securities Act, any confidentially submitted registration statement relating to the offer and sale of the Offered Securities.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4" w:name="page25"/>
    <w:bookmarkEnd w:id="24"/>
    <w:p>
      <w:pPr>
        <w:jc w:val="both"/>
        <w:ind w:left="10" w:firstLine="530"/>
        <w:spacing w:after="0" w:line="253" w:lineRule="auto"/>
        <w:tabs>
          <w:tab w:leader="none" w:pos="1158" w:val="left"/>
        </w:tabs>
        <w:numPr>
          <w:ilvl w:val="0"/>
          <w:numId w:val="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Clinical Data and Regulatory Compliance</w:t>
      </w:r>
      <w:r>
        <w:rPr>
          <w:rFonts w:ascii="Times New Roman" w:cs="Times New Roman" w:eastAsia="Times New Roman" w:hAnsi="Times New Roman"/>
          <w:sz w:val="15"/>
          <w:szCs w:val="15"/>
          <w:color w:val="auto"/>
        </w:rPr>
        <w:t>. The preclinical tests and clinical trials, and other studies of the Company (collectively, “</w:t>
      </w:r>
      <w:r>
        <w:rPr>
          <w:rFonts w:ascii="Times New Roman" w:cs="Times New Roman" w:eastAsia="Times New Roman" w:hAnsi="Times New Roman"/>
          <w:sz w:val="15"/>
          <w:szCs w:val="15"/>
          <w:b w:val="1"/>
          <w:bCs w:val="1"/>
          <w:color w:val="auto"/>
        </w:rPr>
        <w:t>studies</w:t>
      </w:r>
      <w:r>
        <w:rPr>
          <w:rFonts w:ascii="Times New Roman" w:cs="Times New Roman" w:eastAsia="Times New Roman" w:hAnsi="Times New Roman"/>
          <w:sz w:val="15"/>
          <w:szCs w:val="15"/>
          <w:color w:val="auto"/>
        </w:rPr>
        <w:t xml:space="preserve">”) that are described in, or the results of which are referred to in, the Registration Statement, the Time of Sale Prospectus, the Prospectus or the French Public Disclosure were and, if still pending, are being conducted in all material respects in accordance with the protocols, procedures and controls designed and approved for such studies, as amended from time to time; each description of the results of such studies is accurate and complete in all material respects and fairly presents in all material respects the data derived from such studies, and the Company and its subsidiaries have no knowledge of any other studies, other than as may be addressed in the Registration Statement, the Time of Sale Prospectus, the Prospectus or the French Public Disclosure, the results of which are inconsistent with, or otherwise call into question, the results described or referred to in the Registration Statement, the Time of Sale Prospectus, the Prospectus or the French Public Disclosure when viewed in the context in which such results are described and the state of development; the Company and its subsidiaries have made all such filings and obtained all such approvals as may be required by the Food and Drug Administration of the U.S. Department of Health and Human Services or from any other U.S. or foreign government or drug or medical device regulatory agency (including the </w:t>
      </w:r>
      <w:r>
        <w:rPr>
          <w:rFonts w:ascii="Times New Roman" w:cs="Times New Roman" w:eastAsia="Times New Roman" w:hAnsi="Times New Roman"/>
          <w:sz w:val="15"/>
          <w:szCs w:val="15"/>
          <w:i w:val="1"/>
          <w:iCs w:val="1"/>
          <w:color w:val="auto"/>
        </w:rPr>
        <w:t>Agence Nationale de Sécurité du Médicament et des Produits de Santé</w:t>
      </w:r>
      <w:r>
        <w:rPr>
          <w:rFonts w:ascii="Times New Roman" w:cs="Times New Roman" w:eastAsia="Times New Roman" w:hAnsi="Times New Roman"/>
          <w:sz w:val="15"/>
          <w:szCs w:val="15"/>
          <w:color w:val="auto"/>
        </w:rPr>
        <w:t>), or Institutional Review Board (collectively, the “</w:t>
      </w:r>
      <w:r>
        <w:rPr>
          <w:rFonts w:ascii="Times New Roman" w:cs="Times New Roman" w:eastAsia="Times New Roman" w:hAnsi="Times New Roman"/>
          <w:sz w:val="15"/>
          <w:szCs w:val="15"/>
          <w:b w:val="1"/>
          <w:bCs w:val="1"/>
          <w:color w:val="auto"/>
        </w:rPr>
        <w:t>Regulatory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Agencies</w:t>
      </w:r>
      <w:r>
        <w:rPr>
          <w:rFonts w:ascii="Times New Roman" w:cs="Times New Roman" w:eastAsia="Times New Roman" w:hAnsi="Times New Roman"/>
          <w:sz w:val="15"/>
          <w:szCs w:val="15"/>
          <w:color w:val="auto"/>
        </w:rPr>
        <w:t>”) to conduct their respective businesses as currently conducted and as described in the Registration Statement, the Time of Sale Prospectus, the Prospectus or the French Public</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Disclosure; except as disclosed in the Registration Statement, the Time of Sale Prospectus, the Prospectus or the French Public Disclosure, neither the Company nor any of its subsidiaries has received any notice of, or correspondence from, any Regulatory Agency requiring the termination, suspension or modification before proceeding of any clinical trials that are described or referred to in the Registration Statement, the Time of Sale Prospectus, the Prospectus or the French Public Disclosure; and the Company and its subsidiaries have each operated and currently are in compliance in all material respects with all applicable rules, regulations and policies of the Regulatory Agencies.</w:t>
      </w:r>
    </w:p>
    <w:p>
      <w:pPr>
        <w:spacing w:after="0" w:line="160" w:lineRule="exact"/>
        <w:rPr>
          <w:sz w:val="20"/>
          <w:szCs w:val="20"/>
          <w:color w:val="auto"/>
        </w:rPr>
      </w:pPr>
    </w:p>
    <w:p>
      <w:pPr>
        <w:jc w:val="both"/>
        <w:ind w:left="10" w:firstLine="530"/>
        <w:spacing w:after="0" w:line="256" w:lineRule="auto"/>
        <w:tabs>
          <w:tab w:leader="none" w:pos="1340" w:val="left"/>
        </w:tabs>
        <w:numPr>
          <w:ilvl w:val="1"/>
          <w:numId w:val="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Compliance with Health Care Laws</w:t>
      </w:r>
      <w:r>
        <w:rPr>
          <w:rFonts w:ascii="Times New Roman" w:cs="Times New Roman" w:eastAsia="Times New Roman" w:hAnsi="Times New Roman"/>
          <w:sz w:val="15"/>
          <w:szCs w:val="15"/>
          <w:color w:val="auto"/>
        </w:rPr>
        <w:t>. The Company and its subsidiaries are, and at all times have been, in compliance with all Health Care Laws applicable to the Company and its subsidiaries, except as would reasonably be expected individually or in the aggregate to have a Material Adverse Effect. For purposes of this Agreement, “</w:t>
      </w:r>
      <w:r>
        <w:rPr>
          <w:rFonts w:ascii="Times New Roman" w:cs="Times New Roman" w:eastAsia="Times New Roman" w:hAnsi="Times New Roman"/>
          <w:sz w:val="15"/>
          <w:szCs w:val="15"/>
          <w:b w:val="1"/>
          <w:bCs w:val="1"/>
          <w:color w:val="auto"/>
        </w:rPr>
        <w:t>Health Care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Laws</w:t>
      </w:r>
      <w:r>
        <w:rPr>
          <w:rFonts w:ascii="Times New Roman" w:cs="Times New Roman" w:eastAsia="Times New Roman" w:hAnsi="Times New Roman"/>
          <w:sz w:val="15"/>
          <w:szCs w:val="15"/>
          <w:color w:val="auto"/>
        </w:rPr>
        <w:t>” means: (i) the Federal Food, Drug, and Cosmetic Act (21 U.S.C. §§ 301 et seq.), Public Health Service Act (42 U.S.C. §§ 201 et seq.), and the regulations promulgated thereunder;</w:t>
      </w:r>
    </w:p>
    <w:p>
      <w:pPr>
        <w:spacing w:after="0" w:line="1" w:lineRule="exact"/>
        <w:rPr>
          <w:rFonts w:ascii="Times New Roman" w:cs="Times New Roman" w:eastAsia="Times New Roman" w:hAnsi="Times New Roman"/>
          <w:sz w:val="15"/>
          <w:szCs w:val="15"/>
          <w:b w:val="1"/>
          <w:bCs w:val="1"/>
          <w:color w:val="auto"/>
        </w:rPr>
      </w:pPr>
    </w:p>
    <w:p>
      <w:pPr>
        <w:jc w:val="both"/>
        <w:ind w:left="10" w:hanging="10"/>
        <w:spacing w:after="0" w:line="251" w:lineRule="auto"/>
        <w:tabs>
          <w:tab w:leader="none" w:pos="242"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applicable federal, state, local and foreign health care laws, including, without limitation, the U.S. Anti-Kickback Statute (42 U.S.C. Section 1320a-7b(b)), the Civil Monetary Penalties Law (42 U.S.C. § 1320a-7a), the U.S. Civil False Claims Act (31 U.S.C. Section 3729 et seq.), U.S. Physician Payments Sunshine Act (42 U.S.C. Section 1320a-7h), all applicable federal, state, local and all foreign criminal laws relating to health care fraud and abuse, including but not limited to the U.S. False Statements Law (42 U.S.C. Section 1320a-7b(a)), 18 U.S.C. Sections 286 and 287, and the health care fraud criminal provisions under HIPAA, the exclusion law (42 U.S.C. Section 1320-7), the statutes, regulations and directives of applicable government funded or sponsored healthcare programs, and the regulations promulgated pursuant to such statutes; (iii) the Standards for Privacy of Individually Identifiable Health Information, 45 C.F.R. parts 160 and 164 (subparts A and E) (the “</w:t>
      </w:r>
      <w:r>
        <w:rPr>
          <w:rFonts w:ascii="Times New Roman" w:cs="Times New Roman" w:eastAsia="Times New Roman" w:hAnsi="Times New Roman"/>
          <w:sz w:val="15"/>
          <w:szCs w:val="15"/>
          <w:b w:val="1"/>
          <w:bCs w:val="1"/>
          <w:color w:val="auto"/>
        </w:rPr>
        <w:t>Privacy Rule</w:t>
      </w:r>
      <w:r>
        <w:rPr>
          <w:rFonts w:ascii="Times New Roman" w:cs="Times New Roman" w:eastAsia="Times New Roman" w:hAnsi="Times New Roman"/>
          <w:sz w:val="15"/>
          <w:szCs w:val="15"/>
          <w:color w:val="auto"/>
        </w:rPr>
        <w:t>”), the Security Standards, 45 C.F.R. parts 160 and 164 (subparts A and C), the Breach Notification Rule, 45 C.F.R. part 164 (subpart D), and the Standards for Electronic Transactions and Code Sets, 45 C.F.R. part 162, promulgated under HIPAA, the Health Information Technology for Economic and Clinical Health Act (42 U.S.C. Section 17921 et seq.), and the regulations promulgated thereunder and any state or non-U.S. counterpart thereof or other law or regulation the purpose of which is to protect the privacy of individuals or prescribers; (iv) the Patient Protection and Affordable Care Act of 2010, as amended by the Health Care and Education Reconciliation Act of 2010, and the regulations promulgated thereunder; (v) the U.S. Controlled Substances Act (21 U.S.C. Section 801 et seq.); (vi) licensure, quality, safety and accreditation requirements under applicable federal, state, local or foreign laws or regulatory bodies; and (vii) all other local, state, federal, national, supranational and foreign laws, applicable to the Company or its subsidiaries, except as would reasonably be expected individually or in the aggregate to have a Material Adverse Effect. Neither the Company nor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that has not been resolved nor, to the Company’s knowledge, is any such claim, action, suit, proceeding, hearing, enforcement, investigation, arbitration or other action threatened. Except as would not reasonably be expected individually or in the aggregate to have a Material Adverse Effect, (i) the Company and its subsidiaries have filed, obtained, maintained or submitted all material reports, documents, forms, notices, applications, records, claims, submissions and supplements or amendments as required by any Health Care Laws, and (ii) all such reports, documents, forms, notices, applications, records, claims, submissions and supplements or amendments were complete, accurate and not misleading on the date filed in all material respects (or were materially corrected or supplemented by a subsequent submission). Neither the Company nor its subsidiaries is a party to any corporate integrity agreements, deferred prosecution agreements, monitoring agreements, consent decrees, settlement orders, or similar agreements with or imposed by any governmental or regulatory authority with respect to Health Care Laws. Additionally, neither the Company, its subsidiaries nor, to the knowledge of the Company, any of the Company’s or its subsidiaries’ respective employees, officers or directors has been excluded, suspended or debarred from participation in any U.S. federal or state health care program or human clinical research or is subject to a governmental inquiry, investigation, proceeding, or other similar action that could reasonably be expected to result in debarment, suspension, or exclusion. The Company is not a “covered entity” or “business associate” as such terms are defined under HIPAA.</w:t>
      </w:r>
    </w:p>
    <w:p>
      <w:pPr>
        <w:spacing w:after="0" w:line="30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5518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25" w:name="page26"/>
    <w:bookmarkEnd w:id="25"/>
    <w:p>
      <w:pPr>
        <w:jc w:val="both"/>
        <w:ind w:firstLine="530"/>
        <w:spacing w:after="0" w:line="256" w:lineRule="auto"/>
        <w:tabs>
          <w:tab w:leader="none" w:pos="1299" w:val="left"/>
        </w:tabs>
        <w:numPr>
          <w:ilvl w:val="0"/>
          <w:numId w:val="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Contract Terminations</w:t>
      </w:r>
      <w:r>
        <w:rPr>
          <w:rFonts w:ascii="Times New Roman" w:cs="Times New Roman" w:eastAsia="Times New Roman" w:hAnsi="Times New Roman"/>
          <w:sz w:val="15"/>
          <w:szCs w:val="15"/>
          <w:color w:val="auto"/>
        </w:rPr>
        <w:t>. Neither the Company nor any of its subsidiaries has sent or received any communication regarding termination of, or intent not to renew, any of the contracts or agreements referred to or described in any preliminary prospectus, the Prospectus, the French Public Disclosure or any free writing prospectus, or referred to or described in, or filed as an exhibit to, the Registration Statement or the F-6 Registration Statement, or any document incorporated by reference therein, and no such termination or non-renewal has been threatened by the Company or any of its subsidiaries or, to the Company’s knowledge, any other party to any such contract or agreement, which threat of termination or non-renewal has not been rescinded as of the date hereof, except, in each case, as described or contemplated by the Registration Statement, the F-6 Registration Statement, the Time of Sale Prospectus, the Prospectus or the French Public Disclosure.</w:t>
      </w:r>
    </w:p>
    <w:p>
      <w:pPr>
        <w:spacing w:after="0" w:line="156" w:lineRule="exact"/>
        <w:rPr>
          <w:rFonts w:ascii="Times New Roman" w:cs="Times New Roman" w:eastAsia="Times New Roman" w:hAnsi="Times New Roman"/>
          <w:sz w:val="15"/>
          <w:szCs w:val="15"/>
          <w:b w:val="1"/>
          <w:bCs w:val="1"/>
          <w:color w:val="auto"/>
        </w:rPr>
      </w:pPr>
    </w:p>
    <w:p>
      <w:pPr>
        <w:jc w:val="both"/>
        <w:ind w:firstLine="530"/>
        <w:spacing w:after="0" w:line="265" w:lineRule="auto"/>
        <w:tabs>
          <w:tab w:leader="none" w:pos="1294" w:val="left"/>
        </w:tabs>
        <w:numPr>
          <w:ilvl w:val="0"/>
          <w:numId w:val="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Dividend Restrictions</w:t>
      </w:r>
      <w:r>
        <w:rPr>
          <w:rFonts w:ascii="Times New Roman" w:cs="Times New Roman" w:eastAsia="Times New Roman" w:hAnsi="Times New Roman"/>
          <w:sz w:val="15"/>
          <w:szCs w:val="15"/>
          <w:color w:val="auto"/>
        </w:rPr>
        <w:t>.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49" w:lineRule="exact"/>
        <w:rPr>
          <w:sz w:val="20"/>
          <w:szCs w:val="20"/>
          <w:color w:val="auto"/>
        </w:rPr>
      </w:pPr>
    </w:p>
    <w:p>
      <w:pPr>
        <w:jc w:val="both"/>
        <w:ind w:right="20" w:firstLine="540"/>
        <w:spacing w:after="0" w:line="280" w:lineRule="auto"/>
        <w:rPr>
          <w:sz w:val="20"/>
          <w:szCs w:val="20"/>
          <w:color w:val="auto"/>
        </w:rPr>
      </w:pPr>
      <w:r>
        <w:rPr>
          <w:rFonts w:ascii="Times New Roman" w:cs="Times New Roman" w:eastAsia="Times New Roman" w:hAnsi="Times New Roman"/>
          <w:sz w:val="15"/>
          <w:szCs w:val="15"/>
          <w:color w:val="auto"/>
        </w:rPr>
        <w:t>Any certificate signed by any officer of the Company or any of its subsidiaries and delivered to any Underwriter or to counsel for the Underwriters in connection with the offering, or the purchase and sale, of the Offered Securities shall be deemed a representation and warranty by the Company to each Underwriter as to the matters covered thereby.</w:t>
      </w:r>
    </w:p>
    <w:p>
      <w:pPr>
        <w:spacing w:after="0" w:line="138" w:lineRule="exact"/>
        <w:rPr>
          <w:sz w:val="20"/>
          <w:szCs w:val="20"/>
          <w:color w:val="auto"/>
        </w:rPr>
      </w:pPr>
    </w:p>
    <w:p>
      <w:pPr>
        <w:jc w:val="both"/>
        <w:ind w:firstLine="540"/>
        <w:spacing w:after="0" w:line="265" w:lineRule="auto"/>
        <w:rPr>
          <w:sz w:val="20"/>
          <w:szCs w:val="20"/>
          <w:color w:val="auto"/>
        </w:rPr>
      </w:pPr>
      <w:r>
        <w:rPr>
          <w:rFonts w:ascii="Times New Roman" w:cs="Times New Roman" w:eastAsia="Times New Roman" w:hAnsi="Times New Roman"/>
          <w:sz w:val="15"/>
          <w:szCs w:val="15"/>
          <w:color w:val="auto"/>
        </w:rPr>
        <w:t>The Company has a reasonable basis for making each of the representations set forth in this Section 1. The Company acknowledges that the Underwriters and, for purposes of the opinions to be delivered pursuant to Section 6 hereof, counsels to the Company and counsels to the Underwriters, will rely upon the accuracy and truthfulness of the foregoing representations and hereby consents to such reliance.</w:t>
      </w:r>
    </w:p>
    <w:p>
      <w:pPr>
        <w:spacing w:after="0" w:line="1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5"/>
          <w:szCs w:val="15"/>
          <w:b w:val="1"/>
          <w:bCs w:val="1"/>
          <w:color w:val="auto"/>
        </w:rPr>
        <w:t>Section 2.</w:t>
      </w:r>
      <w:r>
        <w:rPr>
          <w:sz w:val="20"/>
          <w:szCs w:val="20"/>
          <w:color w:val="auto"/>
        </w:rPr>
        <w:tab/>
      </w:r>
      <w:r>
        <w:rPr>
          <w:rFonts w:ascii="Times New Roman" w:cs="Times New Roman" w:eastAsia="Times New Roman" w:hAnsi="Times New Roman"/>
          <w:sz w:val="14"/>
          <w:szCs w:val="14"/>
          <w:b w:val="1"/>
          <w:bCs w:val="1"/>
          <w:color w:val="auto"/>
        </w:rPr>
        <w:t>Purchase, Sale and Delivery of the Offered Securities.</w:t>
      </w:r>
    </w:p>
    <w:p>
      <w:pPr>
        <w:spacing w:after="0" w:line="192" w:lineRule="exact"/>
        <w:rPr>
          <w:sz w:val="20"/>
          <w:szCs w:val="20"/>
          <w:color w:val="auto"/>
        </w:rPr>
      </w:pPr>
    </w:p>
    <w:p>
      <w:pPr>
        <w:jc w:val="both"/>
        <w:ind w:firstLine="530"/>
        <w:spacing w:after="0" w:line="255" w:lineRule="auto"/>
        <w:tabs>
          <w:tab w:leader="none" w:pos="1259" w:val="left"/>
        </w:tabs>
        <w:numPr>
          <w:ilvl w:val="0"/>
          <w:numId w:val="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The Firm Securities</w:t>
      </w:r>
      <w:r>
        <w:rPr>
          <w:rFonts w:ascii="Times New Roman" w:cs="Times New Roman" w:eastAsia="Times New Roman" w:hAnsi="Times New Roman"/>
          <w:sz w:val="15"/>
          <w:szCs w:val="15"/>
          <w:color w:val="auto"/>
        </w:rPr>
        <w:t xml:space="preserve">. Upon the terms herein set forth, the Company agrees to issue and sell to the several Underwriters an aggregate of 225,373 Firm ADSs and 1,959,289 Firm Shares and 345,099 Pre-Funded Warrants. On the basis of the representations, warranties and agreements herein contained, and upon the terms but subject to the conditions herein set forth, the Underwriters agree, severally and not jointly, to purchase from the Company up to the respective number of Firm ADSs or Firm Shares, as applicable, and Pre-Funded Warrants set forth opposite their names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at the purchase price set forth in accordance with Section 2(d) below; plus any additional number of Firm Securities which such Underwriter may become obligated to purchase pursuant to the provisions of Section 11 (subject, in each case, to such adjustments among the Underwriters as the applicable Representatives in their sole discretion shall make to eliminate any sales or purchase of fractional Ordinary Shares or ADSs, as the case may be). It is understood that the obligations of the Underwriters contained in this Agreement shall not constitute a performance guarantee (</w:t>
      </w:r>
      <w:r>
        <w:rPr>
          <w:rFonts w:ascii="Times New Roman" w:cs="Times New Roman" w:eastAsia="Times New Roman" w:hAnsi="Times New Roman"/>
          <w:sz w:val="15"/>
          <w:szCs w:val="15"/>
          <w:i w:val="1"/>
          <w:iCs w:val="1"/>
          <w:color w:val="auto"/>
        </w:rPr>
        <w:t>garantie de bonne fin</w:t>
      </w:r>
      <w:r>
        <w:rPr>
          <w:rFonts w:ascii="Times New Roman" w:cs="Times New Roman" w:eastAsia="Times New Roman" w:hAnsi="Times New Roman"/>
          <w:sz w:val="15"/>
          <w:szCs w:val="15"/>
          <w:color w:val="auto"/>
        </w:rPr>
        <w:t>) within the meaning of Article L. 225-145 of the French Commercial Code.</w:t>
      </w:r>
    </w:p>
    <w:p>
      <w:pPr>
        <w:spacing w:after="0" w:line="157" w:lineRule="exact"/>
        <w:rPr>
          <w:rFonts w:ascii="Times New Roman" w:cs="Times New Roman" w:eastAsia="Times New Roman" w:hAnsi="Times New Roman"/>
          <w:sz w:val="15"/>
          <w:szCs w:val="15"/>
          <w:b w:val="1"/>
          <w:bCs w:val="1"/>
          <w:color w:val="auto"/>
        </w:rPr>
      </w:pPr>
    </w:p>
    <w:p>
      <w:pPr>
        <w:jc w:val="both"/>
        <w:ind w:firstLine="530"/>
        <w:spacing w:after="0" w:line="256" w:lineRule="auto"/>
        <w:tabs>
          <w:tab w:leader="none" w:pos="1121" w:val="left"/>
        </w:tabs>
        <w:numPr>
          <w:ilvl w:val="0"/>
          <w:numId w:val="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The First Closing Date</w:t>
      </w:r>
      <w:r>
        <w:rPr>
          <w:rFonts w:ascii="Times New Roman" w:cs="Times New Roman" w:eastAsia="Times New Roman" w:hAnsi="Times New Roman"/>
          <w:sz w:val="15"/>
          <w:szCs w:val="15"/>
          <w:color w:val="auto"/>
        </w:rPr>
        <w:t>. Delivery of certificates or book-entry positions for the Firm Securities to be purchased by the Underwriters and payment therefor shall be made at the offices of Cooley LLP, New York, NY (or such other place as may be agreed to by the Company and the Representatives) at 3:00 a.m. New York City time, on May 26, 2026, or such other time and date not later than 10:00 a.m. New York City time on the tenth business day thereafter, as the Representatives shall designate by notice to the Company (the time and date of such closing are called the “</w:t>
      </w:r>
      <w:r>
        <w:rPr>
          <w:rFonts w:ascii="Times New Roman" w:cs="Times New Roman" w:eastAsia="Times New Roman" w:hAnsi="Times New Roman"/>
          <w:sz w:val="15"/>
          <w:szCs w:val="15"/>
          <w:b w:val="1"/>
          <w:bCs w:val="1"/>
          <w:color w:val="auto"/>
        </w:rPr>
        <w:t>First Closing Date</w:t>
      </w:r>
      <w:r>
        <w:rPr>
          <w:rFonts w:ascii="Times New Roman" w:cs="Times New Roman" w:eastAsia="Times New Roman" w:hAnsi="Times New Roman"/>
          <w:sz w:val="15"/>
          <w:szCs w:val="15"/>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12.</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6" w:name="page27"/>
    <w:bookmarkEnd w:id="26"/>
    <w:p>
      <w:pPr>
        <w:jc w:val="both"/>
        <w:ind w:firstLine="530"/>
        <w:spacing w:after="0" w:line="253" w:lineRule="auto"/>
        <w:tabs>
          <w:tab w:leader="none" w:pos="1127" w:val="left"/>
        </w:tabs>
        <w:numPr>
          <w:ilvl w:val="0"/>
          <w:numId w:val="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The Option ADSs; Option Closing Date</w:t>
      </w:r>
      <w:r>
        <w:rPr>
          <w:rFonts w:ascii="Times New Roman" w:cs="Times New Roman" w:eastAsia="Times New Roman" w:hAnsi="Times New Roman"/>
          <w:sz w:val="15"/>
          <w:szCs w:val="15"/>
          <w:color w:val="auto"/>
        </w:rPr>
        <w:t>. In addition, on the basis of the representations, warranties and agreements herein contained, and upon the terms but subject to the conditions herein set forth, the Company hereby agrees to issue, at the option of the several Underwriters, up to an aggregate of 33,805 Option ADSs at the ADS Purchase Price (as defined below) to be sold to the Underwriters. The option granted hereunder may be exercised once at any time in whole or in part upon notice by the Representatives to the Company, which notice may be given at any time within 30 days from the date of this Agreement. Such notice shall set forth (i) the aggregate number of Option ADSs as to which the Underwriters are exercising the option and (ii) the time, date and place at which the Option ADSs will be delivered (which time and date may be simultaneous with, but not earlier than, the First Closing Date; and in the event that such time and date are simultaneous with the First Closing Date, the term “</w:t>
      </w:r>
      <w:r>
        <w:rPr>
          <w:rFonts w:ascii="Times New Roman" w:cs="Times New Roman" w:eastAsia="Times New Roman" w:hAnsi="Times New Roman"/>
          <w:sz w:val="15"/>
          <w:szCs w:val="15"/>
          <w:b w:val="1"/>
          <w:bCs w:val="1"/>
          <w:color w:val="auto"/>
        </w:rPr>
        <w:t>First Closing Date</w:t>
      </w:r>
      <w:r>
        <w:rPr>
          <w:rFonts w:ascii="Times New Roman" w:cs="Times New Roman" w:eastAsia="Times New Roman" w:hAnsi="Times New Roman"/>
          <w:sz w:val="15"/>
          <w:szCs w:val="15"/>
          <w:color w:val="auto"/>
        </w:rPr>
        <w:t>” shall refer to the time and date of delivery of the Firm Securities and such Option ADSs). Such time and date of delivery, if subsequent to the First Closing Date, is called the “</w:t>
      </w:r>
      <w:r>
        <w:rPr>
          <w:rFonts w:ascii="Times New Roman" w:cs="Times New Roman" w:eastAsia="Times New Roman" w:hAnsi="Times New Roman"/>
          <w:sz w:val="15"/>
          <w:szCs w:val="15"/>
          <w:b w:val="1"/>
          <w:bCs w:val="1"/>
          <w:color w:val="auto"/>
        </w:rPr>
        <w:t>Option Closing Date</w:t>
      </w:r>
      <w:r>
        <w:rPr>
          <w:rFonts w:ascii="Times New Roman" w:cs="Times New Roman" w:eastAsia="Times New Roman" w:hAnsi="Times New Roman"/>
          <w:sz w:val="15"/>
          <w:szCs w:val="15"/>
          <w:color w:val="auto"/>
        </w:rPr>
        <w:t xml:space="preserve">,” shall be determined by the Representatives and shall not be earlier than two or later than five full business days after delivery of such notice of exercise. If any Option ADSs are to be purchased, each relevant Underwriter agrees, severally and not jointly, to purchase that proportion of the total number of Option ADSs then being purchased which the number of Firm Securities, as set forth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opposite the name of such relevant Underwriter bears to the total number of Firm Securities to be purchased (subject to such adjustments to eliminate fractional Ordinary Shares or ADSs, as the case may be, as the applicable Representatives may determine);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any rights and obligations of any European Representative with respect to the Option ADSs will instead be borne by the U.S. affiliate of such European Representative.</w:t>
      </w:r>
    </w:p>
    <w:p>
      <w:pPr>
        <w:spacing w:after="0" w:line="159" w:lineRule="exact"/>
        <w:rPr>
          <w:rFonts w:ascii="Times New Roman" w:cs="Times New Roman" w:eastAsia="Times New Roman" w:hAnsi="Times New Roman"/>
          <w:sz w:val="15"/>
          <w:szCs w:val="15"/>
          <w:b w:val="1"/>
          <w:bCs w:val="1"/>
          <w:color w:val="auto"/>
        </w:rPr>
      </w:pPr>
    </w:p>
    <w:p>
      <w:pPr>
        <w:jc w:val="both"/>
        <w:ind w:firstLine="530"/>
        <w:spacing w:after="0" w:line="252" w:lineRule="auto"/>
        <w:tabs>
          <w:tab w:leader="none" w:pos="1099" w:val="left"/>
        </w:tabs>
        <w:numPr>
          <w:ilvl w:val="0"/>
          <w:numId w:val="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Payment for the Offered Securities</w:t>
      </w:r>
      <w:r>
        <w:rPr>
          <w:rFonts w:ascii="Times New Roman" w:cs="Times New Roman" w:eastAsia="Times New Roman" w:hAnsi="Times New Roman"/>
          <w:sz w:val="15"/>
          <w:szCs w:val="15"/>
          <w:color w:val="auto"/>
        </w:rPr>
        <w:t>. The Firm Shares and the Firm ADSs (and, as the case may be, the Option ADSs) are being offered as part of a single capital increase at an identical price of $38.98 per ADS (the “</w:t>
      </w:r>
      <w:r>
        <w:rPr>
          <w:rFonts w:ascii="Times New Roman" w:cs="Times New Roman" w:eastAsia="Times New Roman" w:hAnsi="Times New Roman"/>
          <w:sz w:val="15"/>
          <w:szCs w:val="15"/>
          <w:b w:val="1"/>
          <w:bCs w:val="1"/>
          <w:color w:val="auto"/>
        </w:rPr>
        <w:t>ADS Purchase Price</w:t>
      </w:r>
      <w:r>
        <w:rPr>
          <w:rFonts w:ascii="Times New Roman" w:cs="Times New Roman" w:eastAsia="Times New Roman" w:hAnsi="Times New Roman"/>
          <w:sz w:val="15"/>
          <w:szCs w:val="15"/>
          <w:color w:val="auto"/>
        </w:rPr>
        <w:t>”) corresponding to €33.60 per Ordinary Share (the “</w:t>
      </w:r>
      <w:r>
        <w:rPr>
          <w:rFonts w:ascii="Times New Roman" w:cs="Times New Roman" w:eastAsia="Times New Roman" w:hAnsi="Times New Roman"/>
          <w:sz w:val="15"/>
          <w:szCs w:val="15"/>
          <w:b w:val="1"/>
          <w:bCs w:val="1"/>
          <w:color w:val="auto"/>
        </w:rPr>
        <w:t>Share Purchase Price</w:t>
      </w:r>
      <w:r>
        <w:rPr>
          <w:rFonts w:ascii="Times New Roman" w:cs="Times New Roman" w:eastAsia="Times New Roman" w:hAnsi="Times New Roman"/>
          <w:sz w:val="15"/>
          <w:szCs w:val="15"/>
          <w:color w:val="auto"/>
        </w:rPr>
        <w:t>”) based upon the exchange rate, as agreed between the Company and the Representatives, and exclusive of the commissions set forth in Section 2(f) below. The Pre-Funded Warrants will be offered at a public offering price of €33.57 per Pre-Funded Warrant which will be entirely pre-funded at the First Closing Date, except for a nominal exercise price of 0.03 Euro per Warrant Share (the “</w:t>
      </w:r>
      <w:r>
        <w:rPr>
          <w:rFonts w:ascii="Times New Roman" w:cs="Times New Roman" w:eastAsia="Times New Roman" w:hAnsi="Times New Roman"/>
          <w:sz w:val="15"/>
          <w:szCs w:val="15"/>
          <w:b w:val="1"/>
          <w:bCs w:val="1"/>
          <w:color w:val="auto"/>
        </w:rPr>
        <w:t>Pre-Funded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Warrant Purchase Price</w:t>
      </w:r>
      <w:r>
        <w:rPr>
          <w:rFonts w:ascii="Times New Roman" w:cs="Times New Roman" w:eastAsia="Times New Roman" w:hAnsi="Times New Roman"/>
          <w:sz w:val="15"/>
          <w:szCs w:val="15"/>
          <w:color w:val="auto"/>
        </w:rPr>
        <w:t>”). Payment of the Share Purchase Price or the ADS Purchase Price, as applicable, for the Firm Shares and the Firm ADSs (and, as the case may be, the Option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ADSs) shall be made to the Company on or prior to the First Closing Date (and, as the case may be, on or prior to the Option Closing Date) (i) in Euros with respect to the Firm Shares by wire transfer or credit of immediately available funds of an amount equal to the product of 1,959,289 Firm Shares sold in the International Offering by the Share Purchase Price to the account or accounts designated by the Company in writing at least two business days prior to the First Closing Date, which account shall be held at CM-CIC Securities, as transfer agent and registrar of the Company (the “</w:t>
      </w:r>
      <w:r>
        <w:rPr>
          <w:rFonts w:ascii="Times New Roman" w:cs="Times New Roman" w:eastAsia="Times New Roman" w:hAnsi="Times New Roman"/>
          <w:sz w:val="15"/>
          <w:szCs w:val="15"/>
          <w:b w:val="1"/>
          <w:bCs w:val="1"/>
          <w:color w:val="auto"/>
        </w:rPr>
        <w:t>Registrar</w:t>
      </w:r>
      <w:r>
        <w:rPr>
          <w:rFonts w:ascii="Times New Roman" w:cs="Times New Roman" w:eastAsia="Times New Roman" w:hAnsi="Times New Roman"/>
          <w:sz w:val="15"/>
          <w:szCs w:val="15"/>
          <w:color w:val="auto"/>
        </w:rPr>
        <w:t>”), by Jefferies GmbH as a European Representative for purposes of settlement and delivery of the Firm Shares and (ii) in United States dollars with respect to the Firm ADSs (or Option ADSs, as the case may be) by wire transfer or credit of immediately available funds of an amount equal to the product of the 225,373 Firm ADSs (or the Option ADSs, as the case may be) sold in the U.S. Offering by the ADS Purchase Price to the account or accounts designated by the Company in writing at least two business days prior to the First Closing Date (or the Option Closing Date, as the case may be), which account shall be held at the Registrar, by Jefferies LLC as a U.S. Representative for purposes of settlement and delivery of the Offered ADSs. No later than 10:00 a.m. Central European Time on the First Closing Date and, as the case may be, the Option Closing Date, the Registrar shall issue one depositary certificate (</w:t>
      </w:r>
      <w:r>
        <w:rPr>
          <w:rFonts w:ascii="Times New Roman" w:cs="Times New Roman" w:eastAsia="Times New Roman" w:hAnsi="Times New Roman"/>
          <w:sz w:val="15"/>
          <w:szCs w:val="15"/>
          <w:i w:val="1"/>
          <w:iCs w:val="1"/>
          <w:color w:val="auto"/>
        </w:rPr>
        <w:t>certificat du dépositaire</w:t>
      </w:r>
      <w:r>
        <w:rPr>
          <w:rFonts w:ascii="Times New Roman" w:cs="Times New Roman" w:eastAsia="Times New Roman" w:hAnsi="Times New Roman"/>
          <w:sz w:val="15"/>
          <w:szCs w:val="15"/>
          <w:color w:val="auto"/>
        </w:rPr>
        <w:t xml:space="preserve">) in accordance with Article L. 225-146 of the French Commercial Code, relating to the capital increase, and, as the case may be, the additional capital increase, of the Company, and shall deliver three originals of such certificate to the Company. At least one full business day prior to the First Closing Date, the Company shall have taken all actions and provided the Registrar with all notices, documents, corporate authorizations or other instruments necessary or required to effectuate the issuance of the </w:t>
      </w:r>
      <w:r>
        <w:rPr>
          <w:rFonts w:ascii="Times New Roman" w:cs="Times New Roman" w:eastAsia="Times New Roman" w:hAnsi="Times New Roman"/>
          <w:sz w:val="15"/>
          <w:szCs w:val="15"/>
          <w:i w:val="1"/>
          <w:iCs w:val="1"/>
          <w:color w:val="auto"/>
        </w:rPr>
        <w:t>certificat du dépositaire</w:t>
      </w:r>
      <w:r>
        <w:rPr>
          <w:rFonts w:ascii="Times New Roman" w:cs="Times New Roman" w:eastAsia="Times New Roman" w:hAnsi="Times New Roman"/>
          <w:sz w:val="15"/>
          <w:szCs w:val="15"/>
          <w:color w:val="auto"/>
        </w:rPr>
        <w:t xml:space="preserve"> referred herein. Payment of the Pre-Funded Warrant Purchase Price for the Pre-Funded Warrants shall be made to the Company on or prior to the First Closing Date in Euros by wire transfer or credit of immediately available funds of an amount equal to the product of 345,099 Pre-Funded Warrants sold in the International Offering by the Pre-Funded Warrant Purchase Price to the account or accounts designated by the Company in writing at least two business days prior to the First Closing Date, which account shall be held at the Registrar, on the First Closing Date.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7" w:name="page28"/>
    <w:bookmarkEnd w:id="27"/>
    <w:p>
      <w:pPr>
        <w:jc w:val="both"/>
        <w:ind w:firstLine="530"/>
        <w:spacing w:after="0" w:line="253" w:lineRule="auto"/>
        <w:tabs>
          <w:tab w:leader="none" w:pos="1082" w:val="left"/>
        </w:tabs>
        <w:numPr>
          <w:ilvl w:val="0"/>
          <w:numId w:val="2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Delivery of the Offered Securities</w:t>
      </w:r>
      <w:r>
        <w:rPr>
          <w:rFonts w:ascii="Times New Roman" w:cs="Times New Roman" w:eastAsia="Times New Roman" w:hAnsi="Times New Roman"/>
          <w:sz w:val="15"/>
          <w:szCs w:val="15"/>
          <w:color w:val="auto"/>
        </w:rPr>
        <w:t xml:space="preserve">. On the First Closing Date and, as the case may be, on the Option Closing Date, immediately after issuing the </w:t>
      </w:r>
      <w:r>
        <w:rPr>
          <w:rFonts w:ascii="Times New Roman" w:cs="Times New Roman" w:eastAsia="Times New Roman" w:hAnsi="Times New Roman"/>
          <w:sz w:val="15"/>
          <w:szCs w:val="15"/>
          <w:i w:val="1"/>
          <w:iCs w:val="1"/>
          <w:color w:val="auto"/>
        </w:rPr>
        <w:t>certificat du dépositaire</w:t>
      </w:r>
      <w:r>
        <w:rPr>
          <w:rFonts w:ascii="Times New Roman" w:cs="Times New Roman" w:eastAsia="Times New Roman" w:hAnsi="Times New Roman"/>
          <w:sz w:val="15"/>
          <w:szCs w:val="15"/>
          <w:color w:val="auto"/>
        </w:rPr>
        <w:t xml:space="preserve">, the Registrar shall: (i) send to Euroclear France, in the name and on behalf of the Company, a </w:t>
      </w:r>
      <w:r>
        <w:rPr>
          <w:rFonts w:ascii="Times New Roman" w:cs="Times New Roman" w:eastAsia="Times New Roman" w:hAnsi="Times New Roman"/>
          <w:sz w:val="15"/>
          <w:szCs w:val="15"/>
          <w:i w:val="1"/>
          <w:iCs w:val="1"/>
          <w:color w:val="auto"/>
        </w:rPr>
        <w:t>lettre comptable</w:t>
      </w:r>
      <w:r>
        <w:rPr>
          <w:rFonts w:ascii="Times New Roman" w:cs="Times New Roman" w:eastAsia="Times New Roman" w:hAnsi="Times New Roman"/>
          <w:sz w:val="15"/>
          <w:szCs w:val="15"/>
          <w:color w:val="auto"/>
        </w:rPr>
        <w:t xml:space="preserve"> for the creation of the Firm Shares and of the Underlying Shares corresponding to the Firm ADSs (and, as the case may be, the Option ADSs) and for credit thereof no later than on the First Closing Date (and, as the case may be, the Option Closing Date) in a securities account opened in the name and on behalf of the Company in the books of the Registrar; (ii) transfer and credit the Firm Shares to a securities account opened in the books of the European Representative for purposes of settlement and delivery of the Firm Shares; and (iii) transfer the Underlying Shares corresponding to the Firm ADSs (and, as the case may be, the Option ADSs) to Citibank, N.A., as custodian under the Deposit Agreement, for the account of the Depositary against issuance of ADRs evidencing ADSs in accordance with the Deposit Agreement. Delivery of the Offered ADSs and/or the ADRs evidencing Offered ADSs shall be made through the facilities of the Depository Trust Company (“</w:t>
      </w:r>
      <w:r>
        <w:rPr>
          <w:rFonts w:ascii="Times New Roman" w:cs="Times New Roman" w:eastAsia="Times New Roman" w:hAnsi="Times New Roman"/>
          <w:sz w:val="15"/>
          <w:szCs w:val="15"/>
          <w:b w:val="1"/>
          <w:bCs w:val="1"/>
          <w:color w:val="auto"/>
        </w:rPr>
        <w:t>DTC</w:t>
      </w:r>
      <w:r>
        <w:rPr>
          <w:rFonts w:ascii="Times New Roman" w:cs="Times New Roman" w:eastAsia="Times New Roman" w:hAnsi="Times New Roman"/>
          <w:sz w:val="15"/>
          <w:szCs w:val="15"/>
          <w:color w:val="auto"/>
        </w:rPr>
        <w:t>”) unless the applicable Representatives shall otherwise instruct. Prior to the First Closing Date, the Company shall have taken all actions and made all necessary filings with Euronext and Euroclear France, and with the Depositary and DTC, to facilitate the transfer of the Firm Shares through Euroclear France and the Offered ADSs through DTC. The ADRs evidencing the Offered ADSs shall be registered in such names and denominations as the applicable Representatives shall have requested at least one full business day prior to the First Closing Date (or the Option Closing Date, as the case may be). Time shall be of the essence, and delivery at the time and place specified in this Agreement is a further condition to the obligations of the Underwriters.</w:t>
      </w:r>
    </w:p>
    <w:p>
      <w:pPr>
        <w:spacing w:after="0" w:line="161" w:lineRule="exact"/>
        <w:rPr>
          <w:sz w:val="20"/>
          <w:szCs w:val="20"/>
          <w:color w:val="auto"/>
        </w:rPr>
      </w:pPr>
    </w:p>
    <w:p>
      <w:pPr>
        <w:jc w:val="both"/>
        <w:ind w:firstLine="540"/>
        <w:spacing w:after="0" w:line="265" w:lineRule="auto"/>
        <w:rPr>
          <w:sz w:val="20"/>
          <w:szCs w:val="20"/>
          <w:color w:val="auto"/>
        </w:rPr>
      </w:pPr>
      <w:r>
        <w:rPr>
          <w:rFonts w:ascii="Times New Roman" w:cs="Times New Roman" w:eastAsia="Times New Roman" w:hAnsi="Times New Roman"/>
          <w:sz w:val="15"/>
          <w:szCs w:val="15"/>
          <w:color w:val="auto"/>
        </w:rPr>
        <w:t>On the First Closing Date, subject to and upon receipt of the aggregate subscription amounts for the Pre-Funded Warrants, the Pre-Funded Warrants will be created and delivered to the accounts specified by each subscriber of Pre-Funded Warrants. On the First Closing Date, the Pre-Funded Warrants shall be inscribed in the books of the Registrar, which shall credit the account of each subscriber of Pre-Funded Warrants with the Registrar.</w:t>
      </w:r>
    </w:p>
    <w:p>
      <w:pPr>
        <w:spacing w:after="0" w:line="149" w:lineRule="exact"/>
        <w:rPr>
          <w:sz w:val="20"/>
          <w:szCs w:val="20"/>
          <w:color w:val="auto"/>
        </w:rPr>
      </w:pPr>
    </w:p>
    <w:p>
      <w:pPr>
        <w:jc w:val="both"/>
        <w:ind w:firstLine="530"/>
        <w:spacing w:after="0" w:line="254" w:lineRule="auto"/>
        <w:tabs>
          <w:tab w:leader="none" w:pos="1121" w:val="left"/>
        </w:tabs>
        <w:numPr>
          <w:ilvl w:val="0"/>
          <w:numId w:val="2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Underwriting Commissions</w:t>
      </w:r>
      <w:r>
        <w:rPr>
          <w:rFonts w:ascii="Times New Roman" w:cs="Times New Roman" w:eastAsia="Times New Roman" w:hAnsi="Times New Roman"/>
          <w:sz w:val="15"/>
          <w:szCs w:val="15"/>
          <w:color w:val="auto"/>
        </w:rPr>
        <w:t xml:space="preserve">. As compensation for the Underwriters’ commitments, the Company shall pay, or cause the Registrar to pay, to Jefferies, as Representative for purposes of settlement and delivery of the Offered Securities, (i) a commission equal to the product of $2.3388 and the number of Firm ADSs (and/or Option ADSs, as the case may be) to be issued at the First Closing Date (or the Option Closing Date, as the case may be) and (ii) a commission equal to the product of €2.0160 and the number of Firm Shares to be issued at the First Closing Date and (iii) the product of €2.0142 per Pre-Funded Warrant multiplied by the number of Pre-Funded Warrants to be issued at the First Closing Date. The aforementioned commissions shall be deducted from the gross proceeds payable to the Company on the First Closing Date (or the Option Closing Date, as the case may be) and shall be paid on such date by the Registrar to the Underwriters as soon as possible after issuance of the </w:t>
      </w:r>
      <w:r>
        <w:rPr>
          <w:rFonts w:ascii="Times New Roman" w:cs="Times New Roman" w:eastAsia="Times New Roman" w:hAnsi="Times New Roman"/>
          <w:sz w:val="15"/>
          <w:szCs w:val="15"/>
          <w:i w:val="1"/>
          <w:iCs w:val="1"/>
          <w:color w:val="auto"/>
        </w:rPr>
        <w:t>certificat du dépositaire</w:t>
      </w:r>
      <w:r>
        <w:rPr>
          <w:rFonts w:ascii="Times New Roman" w:cs="Times New Roman" w:eastAsia="Times New Roman" w:hAnsi="Times New Roman"/>
          <w:sz w:val="15"/>
          <w:szCs w:val="15"/>
          <w:color w:val="auto"/>
        </w:rPr>
        <w:t xml:space="preserve"> referred to in Section 2(d) above. The Company irrevocably agrees to such transfer. The underwriting commissions payable on the First Closing Date (or the Option Closing Date, as the case may be) will be divided in the following proportions: 44.0% for Jefferies, 36.5% for TD Securities (USA) LLC and 19.5% for Stifel, Nicolaus &amp; Company, Incorporated.</w:t>
      </w:r>
    </w:p>
    <w:p>
      <w:pPr>
        <w:spacing w:after="0" w:line="15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5"/>
          <w:szCs w:val="15"/>
          <w:b w:val="1"/>
          <w:bCs w:val="1"/>
          <w:color w:val="auto"/>
        </w:rPr>
        <w:t>Section 3.</w:t>
      </w:r>
      <w:r>
        <w:rPr>
          <w:sz w:val="20"/>
          <w:szCs w:val="20"/>
          <w:color w:val="auto"/>
        </w:rPr>
        <w:tab/>
      </w:r>
      <w:r>
        <w:rPr>
          <w:rFonts w:ascii="Times New Roman" w:cs="Times New Roman" w:eastAsia="Times New Roman" w:hAnsi="Times New Roman"/>
          <w:sz w:val="14"/>
          <w:szCs w:val="14"/>
          <w:b w:val="1"/>
          <w:bCs w:val="1"/>
          <w:color w:val="auto"/>
        </w:rPr>
        <w:t xml:space="preserve">Additional Covenants of the Company. </w:t>
      </w:r>
      <w:r>
        <w:rPr>
          <w:rFonts w:ascii="Times New Roman" w:cs="Times New Roman" w:eastAsia="Times New Roman" w:hAnsi="Times New Roman"/>
          <w:sz w:val="14"/>
          <w:szCs w:val="14"/>
          <w:color w:val="auto"/>
        </w:rPr>
        <w:t>The Company further covenants and agrees with each Underwriter as follows:</w:t>
      </w:r>
    </w:p>
    <w:p>
      <w:pPr>
        <w:spacing w:after="0" w:line="192" w:lineRule="exact"/>
        <w:rPr>
          <w:sz w:val="20"/>
          <w:szCs w:val="20"/>
          <w:color w:val="auto"/>
        </w:rPr>
      </w:pPr>
    </w:p>
    <w:p>
      <w:pPr>
        <w:jc w:val="both"/>
        <w:ind w:firstLine="530"/>
        <w:spacing w:after="0" w:line="257" w:lineRule="auto"/>
        <w:tabs>
          <w:tab w:leader="none" w:pos="1135" w:val="left"/>
        </w:tabs>
        <w:numPr>
          <w:ilvl w:val="0"/>
          <w:numId w:val="3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Delivery of Registration Statement, F-6 Registration Statement, Time of Sale Prospectus and Prospectus</w:t>
      </w:r>
      <w:r>
        <w:rPr>
          <w:rFonts w:ascii="Times New Roman" w:cs="Times New Roman" w:eastAsia="Times New Roman" w:hAnsi="Times New Roman"/>
          <w:sz w:val="15"/>
          <w:szCs w:val="15"/>
          <w:color w:val="auto"/>
        </w:rPr>
        <w:t>. The Company shall furnish to you in New York City, without charge, as promptly as practicable on the business day next succeeding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or the F-6 Registration Statement as you may reasonably request.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28" w:name="page29"/>
    <w:bookmarkEnd w:id="28"/>
    <w:p>
      <w:pPr>
        <w:jc w:val="both"/>
        <w:ind w:firstLine="530"/>
        <w:spacing w:after="0" w:line="253" w:lineRule="auto"/>
        <w:tabs>
          <w:tab w:leader="none" w:pos="1099" w:val="left"/>
        </w:tabs>
        <w:numPr>
          <w:ilvl w:val="0"/>
          <w:numId w:val="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Representatives’ Review of Proposed Amendments and Supplements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During the period when a prospectus relating to the Offered Securities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or the F-6 Registration Statement, a copy of each such amendment or supplement and (ii) will not amend or supplement the Registration Statement or the F-6 Registration Statement (including, in each case, any amendment or supplement through incorporation of any report filed under the Exchange Act) without the Representatives’ prior written consent, which shall not be unreasonably withheld, conditioned or delayed. Prior to amending or supplementing any preliminary prospectus, the Time of Sale Prospectus or the Prospectus (including, in each case,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shall not be unreasonably withheld, conditioned or delayed. The Company shall file with the Commission within the applicable period specified in Rule 424(b) under the Securities Act any prospectus required to be filed pursuant to such Rule. The information contained in such amendment or supplement shall be made available, to the extent the Representatives reasonably determine that it is required by applicable French laws after consultation with the Company, to the public in France, through a press release broadcasted pursuant to applicable AMF rules.</w:t>
      </w:r>
    </w:p>
    <w:p>
      <w:pPr>
        <w:spacing w:after="0" w:line="161" w:lineRule="exact"/>
        <w:rPr>
          <w:rFonts w:ascii="Times New Roman" w:cs="Times New Roman" w:eastAsia="Times New Roman" w:hAnsi="Times New Roman"/>
          <w:sz w:val="15"/>
          <w:szCs w:val="15"/>
          <w:b w:val="1"/>
          <w:bCs w:val="1"/>
          <w:color w:val="auto"/>
        </w:rPr>
      </w:pPr>
    </w:p>
    <w:p>
      <w:pPr>
        <w:jc w:val="both"/>
        <w:ind w:firstLine="530"/>
        <w:spacing w:after="0" w:line="252" w:lineRule="auto"/>
        <w:tabs>
          <w:tab w:leader="none" w:pos="1104" w:val="left"/>
        </w:tabs>
        <w:numPr>
          <w:ilvl w:val="0"/>
          <w:numId w:val="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Free Writing Prospectuses</w:t>
      </w:r>
      <w:r>
        <w:rPr>
          <w:rFonts w:ascii="Times New Roman" w:cs="Times New Roman" w:eastAsia="Times New Roman" w:hAnsi="Times New Roman"/>
          <w:sz w:val="15"/>
          <w:szCs w:val="15"/>
          <w:color w:val="auto"/>
        </w:rPr>
        <w:t xml:space="preserve">. The Company shall furnish to the Representatives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shall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Securities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the F-6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shall not be unreasonably withheld, conditioned or delayed.</w:t>
      </w:r>
    </w:p>
    <w:p>
      <w:pPr>
        <w:spacing w:after="0" w:line="164" w:lineRule="exact"/>
        <w:rPr>
          <w:rFonts w:ascii="Times New Roman" w:cs="Times New Roman" w:eastAsia="Times New Roman" w:hAnsi="Times New Roman"/>
          <w:sz w:val="15"/>
          <w:szCs w:val="15"/>
          <w:b w:val="1"/>
          <w:bCs w:val="1"/>
          <w:color w:val="auto"/>
        </w:rPr>
      </w:pPr>
    </w:p>
    <w:p>
      <w:pPr>
        <w:jc w:val="both"/>
        <w:ind w:firstLine="530"/>
        <w:spacing w:after="0" w:line="265" w:lineRule="auto"/>
        <w:tabs>
          <w:tab w:leader="none" w:pos="1110" w:val="left"/>
        </w:tabs>
        <w:numPr>
          <w:ilvl w:val="0"/>
          <w:numId w:val="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Filing of Underwriter Free Writing Prospectuses</w:t>
      </w:r>
      <w:r>
        <w:rPr>
          <w:rFonts w:ascii="Times New Roman" w:cs="Times New Roman" w:eastAsia="Times New Roman" w:hAnsi="Times New Roman"/>
          <w:sz w:val="15"/>
          <w:szCs w:val="15"/>
          <w:color w:val="auto"/>
        </w:rPr>
        <w:t>. 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29" w:name="page30"/>
    <w:bookmarkEnd w:id="29"/>
    <w:p>
      <w:pPr>
        <w:jc w:val="both"/>
        <w:ind w:firstLine="530"/>
        <w:spacing w:after="0" w:line="253" w:lineRule="auto"/>
        <w:tabs>
          <w:tab w:leader="none" w:pos="1104" w:val="left"/>
        </w:tabs>
        <w:numPr>
          <w:ilvl w:val="0"/>
          <w:numId w:val="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Amendments and Supplements to Time of Sale Prospectus</w:t>
      </w:r>
      <w:r>
        <w:rPr>
          <w:rFonts w:ascii="Times New Roman" w:cs="Times New Roman" w:eastAsia="Times New Roman" w:hAnsi="Times New Roman"/>
          <w:sz w:val="15"/>
          <w:szCs w:val="15"/>
          <w:color w:val="auto"/>
        </w:rPr>
        <w:t>. If the Time of Sale Prospectus is being used to solicit offers to buy the Offered 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the F-6 Registration Statement, or so that the Time of Sale Prospectus, as amended or supplemented, will comply with applicable law. The information contained in such amendment or supplement shall be made available, to the extent the Representatives reasonably determine that it is required by applicable French laws after consultation with the Company, to the public in France, through a press release broadcasted pursuant to applicable AMF.</w:t>
      </w:r>
    </w:p>
    <w:p>
      <w:pPr>
        <w:spacing w:after="0" w:line="159" w:lineRule="exact"/>
        <w:rPr>
          <w:rFonts w:ascii="Times New Roman" w:cs="Times New Roman" w:eastAsia="Times New Roman" w:hAnsi="Times New Roman"/>
          <w:sz w:val="15"/>
          <w:szCs w:val="15"/>
          <w:b w:val="1"/>
          <w:bCs w:val="1"/>
          <w:color w:val="auto"/>
        </w:rPr>
      </w:pPr>
    </w:p>
    <w:p>
      <w:pPr>
        <w:jc w:val="both"/>
        <w:ind w:firstLine="530"/>
        <w:spacing w:after="0" w:line="252" w:lineRule="auto"/>
        <w:tabs>
          <w:tab w:leader="none" w:pos="1076" w:val="left"/>
        </w:tabs>
        <w:numPr>
          <w:ilvl w:val="0"/>
          <w:numId w:val="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Certain Notifications and Required Actions</w:t>
      </w:r>
      <w:r>
        <w:rPr>
          <w:rFonts w:ascii="Times New Roman" w:cs="Times New Roman" w:eastAsia="Times New Roman" w:hAnsi="Times New Roman"/>
          <w:sz w:val="15"/>
          <w:szCs w:val="15"/>
          <w:color w:val="auto"/>
        </w:rPr>
        <w:t>. After the date of this Agreement, the Company shall promptly advise the Representatives in writing of: (i) the receipt of any comments of, or requests for additional or supplemental information from, the Commission or the AMF relating to the Registration Statement or the Offering Press Releases, as the case may be, received by the Company before the later of one year from the date of this Agreement or the expiration of the period during which a prospectus relating to the Offered Securities is required by the Securities Act to be delivered (whether physically or through compliance with Rule 172 under the Securities Act or any similar rule); (ii) the time and date of any filing of any post-effective amendment to the Registration Statement or the F-6 Registration Statement or any amendment or supplement to any preliminary prospectus, the Time of Sale Prospectus, any free writing prospectus, the Prospectus; (iii) the time and date that any post-effective amendment to the Registration Statement or the F-6 Registration Statement becomes effective; and (iv) the issuance by the Commission of any stop order suspending the effectiveness of the Registration Statement or any post-effective amendment thereto or the F-6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Offered Securities from any securities exchange upon which they are listed for trading or included or designated for quotation, or of the threatening or initiation of any proceedings for any of such purposes. If the Commission shall enter any such stop order or if any such challenge is issued at any time, the Company will use its best efforts to obtain the lifting of such order or to oppose such challenge at the earliest possible moment.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spacing w:after="0" w:line="165" w:lineRule="exact"/>
        <w:rPr>
          <w:rFonts w:ascii="Times New Roman" w:cs="Times New Roman" w:eastAsia="Times New Roman" w:hAnsi="Times New Roman"/>
          <w:sz w:val="15"/>
          <w:szCs w:val="15"/>
          <w:b w:val="1"/>
          <w:bCs w:val="1"/>
          <w:color w:val="auto"/>
        </w:rPr>
      </w:pPr>
    </w:p>
    <w:p>
      <w:pPr>
        <w:jc w:val="both"/>
        <w:ind w:firstLine="530"/>
        <w:spacing w:after="0" w:line="253" w:lineRule="auto"/>
        <w:tabs>
          <w:tab w:leader="none" w:pos="1203" w:val="left"/>
        </w:tabs>
        <w:numPr>
          <w:ilvl w:val="0"/>
          <w:numId w:val="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Amendments and Supplements to the Prospectus and Other Securities Act Matters</w:t>
      </w:r>
      <w:r>
        <w:rPr>
          <w:rFonts w:ascii="Times New Roman" w:cs="Times New Roman" w:eastAsia="Times New Roman" w:hAnsi="Times New Roman"/>
          <w:sz w:val="15"/>
          <w:szCs w:val="15"/>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counsels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 The information contained in such amendment or supplement shall be made available, to the extent required by applicable French laws, to the public in France, through a press release broadcasted pursuant to applicable AMF rules.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0" w:name="page31"/>
    <w:bookmarkEnd w:id="30"/>
    <w:p>
      <w:pPr>
        <w:jc w:val="both"/>
        <w:ind w:firstLine="530"/>
        <w:spacing w:after="0" w:line="254" w:lineRule="auto"/>
        <w:tabs>
          <w:tab w:leader="none" w:pos="1200" w:val="left"/>
        </w:tabs>
        <w:numPr>
          <w:ilvl w:val="0"/>
          <w:numId w:val="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Blue Sky Compliance</w:t>
      </w:r>
      <w:r>
        <w:rPr>
          <w:rFonts w:ascii="Times New Roman" w:cs="Times New Roman" w:eastAsia="Times New Roman" w:hAnsi="Times New Roman"/>
          <w:sz w:val="15"/>
          <w:szCs w:val="15"/>
          <w:color w:val="auto"/>
        </w:rPr>
        <w:t>. The Company shall cooperate with the Representatives and counsel for the Underwriters to qualify or register the Offered Securities for sale under (or obtain exemptions from the application of) the state securities or blue sky laws or Canadian provincial securities laws (or other foreign laws) of those jurisdictions designated by the Representatives,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possible.</w:t>
      </w:r>
    </w:p>
    <w:p>
      <w:pPr>
        <w:spacing w:after="0" w:line="160" w:lineRule="exact"/>
        <w:rPr>
          <w:rFonts w:ascii="Times New Roman" w:cs="Times New Roman" w:eastAsia="Times New Roman" w:hAnsi="Times New Roman"/>
          <w:sz w:val="15"/>
          <w:szCs w:val="15"/>
          <w:b w:val="1"/>
          <w:bCs w:val="1"/>
          <w:color w:val="auto"/>
        </w:rPr>
      </w:pPr>
    </w:p>
    <w:p>
      <w:pPr>
        <w:jc w:val="both"/>
        <w:ind w:firstLine="530"/>
        <w:spacing w:after="0" w:line="265" w:lineRule="auto"/>
        <w:tabs>
          <w:tab w:leader="none" w:pos="1136" w:val="left"/>
        </w:tabs>
        <w:numPr>
          <w:ilvl w:val="0"/>
          <w:numId w:val="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Use of Proceeds</w:t>
      </w:r>
      <w:r>
        <w:rPr>
          <w:rFonts w:ascii="Times New Roman" w:cs="Times New Roman" w:eastAsia="Times New Roman" w:hAnsi="Times New Roman"/>
          <w:sz w:val="15"/>
          <w:szCs w:val="15"/>
          <w:color w:val="auto"/>
        </w:rPr>
        <w:t>. The Company shall apply the net proceeds from the sale of the Offered Securities sold by it in substantially the manner described under the caption “Use of Proceeds” in the Registration Statement, the Time of Sale Prospectus, and the Launch Press Release, as amended and supplemented in the Pricing Press Release as the case may be.</w:t>
      </w:r>
    </w:p>
    <w:p>
      <w:pPr>
        <w:spacing w:after="0" w:line="149" w:lineRule="exact"/>
        <w:rPr>
          <w:rFonts w:ascii="Times New Roman" w:cs="Times New Roman" w:eastAsia="Times New Roman" w:hAnsi="Times New Roman"/>
          <w:sz w:val="15"/>
          <w:szCs w:val="15"/>
          <w:b w:val="1"/>
          <w:bCs w:val="1"/>
          <w:color w:val="auto"/>
        </w:rPr>
      </w:pPr>
    </w:p>
    <w:p>
      <w:pPr>
        <w:jc w:val="both"/>
        <w:ind w:firstLine="530"/>
        <w:spacing w:after="0" w:line="260" w:lineRule="auto"/>
        <w:tabs>
          <w:tab w:leader="none" w:pos="1121" w:val="left"/>
        </w:tabs>
        <w:numPr>
          <w:ilvl w:val="0"/>
          <w:numId w:val="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Earnings Statement</w:t>
      </w:r>
      <w:r>
        <w:rPr>
          <w:rFonts w:ascii="Times New Roman" w:cs="Times New Roman" w:eastAsia="Times New Roman" w:hAnsi="Times New Roman"/>
          <w:sz w:val="15"/>
          <w:szCs w:val="15"/>
          <w:color w:val="auto"/>
        </w:rPr>
        <w:t xml:space="preserve">. The Company will make generally available to its security holders and to the Representatives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however, that the requirements of this Section 3(j) shall be satisfied to the extent that such earnings statement is available on EDGAR.</w:t>
      </w:r>
    </w:p>
    <w:p>
      <w:pPr>
        <w:spacing w:after="0" w:line="153" w:lineRule="exact"/>
        <w:rPr>
          <w:rFonts w:ascii="Times New Roman" w:cs="Times New Roman" w:eastAsia="Times New Roman" w:hAnsi="Times New Roman"/>
          <w:sz w:val="15"/>
          <w:szCs w:val="15"/>
          <w:b w:val="1"/>
          <w:bCs w:val="1"/>
          <w:color w:val="auto"/>
        </w:rPr>
      </w:pPr>
    </w:p>
    <w:p>
      <w:pPr>
        <w:jc w:val="both"/>
        <w:ind w:firstLine="530"/>
        <w:spacing w:after="0" w:line="257" w:lineRule="auto"/>
        <w:tabs>
          <w:tab w:leader="none" w:pos="1132" w:val="left"/>
        </w:tabs>
        <w:numPr>
          <w:ilvl w:val="0"/>
          <w:numId w:val="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Continued Compliance with Securities Laws</w:t>
      </w:r>
      <w:r>
        <w:rPr>
          <w:rFonts w:ascii="Times New Roman" w:cs="Times New Roman" w:eastAsia="Times New Roman" w:hAnsi="Times New Roman"/>
          <w:sz w:val="15"/>
          <w:szCs w:val="15"/>
          <w:color w:val="auto"/>
        </w:rPr>
        <w:t>. The Company will comply with the Securities Act, the Exchange Act and applicable French laws and regulations so as to permit the completion of the distribution of the Offered Securities as contemplated by this Agreement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the Registration Statement, the F-6 Registration Statement, the Time of Sale Prospectus, the Prospectus and the Offering Press Releases.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Nasdaq all reports and documents required to be filed under the Exchange Act.</w:t>
      </w:r>
    </w:p>
    <w:p>
      <w:pPr>
        <w:spacing w:after="0" w:line="157" w:lineRule="exact"/>
        <w:rPr>
          <w:rFonts w:ascii="Times New Roman" w:cs="Times New Roman" w:eastAsia="Times New Roman" w:hAnsi="Times New Roman"/>
          <w:sz w:val="15"/>
          <w:szCs w:val="15"/>
          <w:b w:val="1"/>
          <w:bCs w:val="1"/>
          <w:color w:val="auto"/>
        </w:rPr>
      </w:pPr>
    </w:p>
    <w:p>
      <w:pPr>
        <w:ind w:firstLine="530"/>
        <w:spacing w:after="0" w:line="280" w:lineRule="auto"/>
        <w:tabs>
          <w:tab w:leader="none" w:pos="1124" w:val="left"/>
        </w:tabs>
        <w:numPr>
          <w:ilvl w:val="0"/>
          <w:numId w:val="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Listing</w:t>
      </w:r>
      <w:r>
        <w:rPr>
          <w:rFonts w:ascii="Times New Roman" w:cs="Times New Roman" w:eastAsia="Times New Roman" w:hAnsi="Times New Roman"/>
          <w:sz w:val="15"/>
          <w:szCs w:val="15"/>
          <w:color w:val="auto"/>
        </w:rPr>
        <w:t>. The Company will use its best efforts to list the Firm Shares and the Underlying Shares and the Warrant Shares upon exercise of the Pre-Funded Warrants on Euronext. No action is required in connection with the offered ADSs being listed on Nasdaq.</w:t>
      </w:r>
    </w:p>
    <w:p>
      <w:pPr>
        <w:spacing w:after="0" w:line="137" w:lineRule="exact"/>
        <w:rPr>
          <w:rFonts w:ascii="Times New Roman" w:cs="Times New Roman" w:eastAsia="Times New Roman" w:hAnsi="Times New Roman"/>
          <w:sz w:val="15"/>
          <w:szCs w:val="15"/>
          <w:b w:val="1"/>
          <w:bCs w:val="1"/>
          <w:color w:val="auto"/>
        </w:rPr>
      </w:pPr>
    </w:p>
    <w:p>
      <w:pPr>
        <w:jc w:val="both"/>
        <w:ind w:firstLine="530"/>
        <w:spacing w:after="0" w:line="253" w:lineRule="auto"/>
        <w:tabs>
          <w:tab w:leader="none" w:pos="1185" w:val="left"/>
        </w:tabs>
        <w:numPr>
          <w:ilvl w:val="0"/>
          <w:numId w:val="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Company to Provide Copy of the Prospectus in Form That May be Downloaded from the Internet</w:t>
      </w:r>
      <w:r>
        <w:rPr>
          <w:rFonts w:ascii="Times New Roman" w:cs="Times New Roman" w:eastAsia="Times New Roman" w:hAnsi="Times New Roman"/>
          <w:sz w:val="15"/>
          <w:szCs w:val="15"/>
          <w:color w:val="auto"/>
        </w:rPr>
        <w:t>. If requested by the Representatives, the Company shall cause to be prepared and delivered, at its expense, within one business day from the effective date of this Agreement, to the Representatives an “</w:t>
      </w:r>
      <w:r>
        <w:rPr>
          <w:rFonts w:ascii="Times New Roman" w:cs="Times New Roman" w:eastAsia="Times New Roman" w:hAnsi="Times New Roman"/>
          <w:sz w:val="15"/>
          <w:szCs w:val="15"/>
          <w:b w:val="1"/>
          <w:bCs w:val="1"/>
          <w:color w:val="auto"/>
        </w:rPr>
        <w:t>electronic Prospectus</w:t>
      </w:r>
      <w:r>
        <w:rPr>
          <w:rFonts w:ascii="Times New Roman" w:cs="Times New Roman" w:eastAsia="Times New Roman" w:hAnsi="Times New Roman"/>
          <w:sz w:val="15"/>
          <w:szCs w:val="15"/>
          <w:color w:val="auto"/>
        </w:rPr>
        <w:t>” to be used by the Underwriters in connection with the offering and sale of the Offered Securities. As used herein, the term “</w:t>
      </w:r>
      <w:r>
        <w:rPr>
          <w:rFonts w:ascii="Times New Roman" w:cs="Times New Roman" w:eastAsia="Times New Roman" w:hAnsi="Times New Roman"/>
          <w:sz w:val="15"/>
          <w:szCs w:val="15"/>
          <w:b w:val="1"/>
          <w:bCs w:val="1"/>
          <w:color w:val="auto"/>
        </w:rPr>
        <w:t>electronic Prospectus</w:t>
      </w:r>
      <w:r>
        <w:rPr>
          <w:rFonts w:ascii="Times New Roman" w:cs="Times New Roman" w:eastAsia="Times New Roman" w:hAnsi="Times New Roman"/>
          <w:sz w:val="15"/>
          <w:szCs w:val="15"/>
          <w:color w:val="auto"/>
        </w:rPr>
        <w:t>” means a form of Time of Sale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Securities;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Time of Sale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1" w:name="page32"/>
    <w:bookmarkEnd w:id="31"/>
    <w:p>
      <w:pPr>
        <w:jc w:val="both"/>
        <w:ind w:firstLine="530"/>
        <w:spacing w:after="0" w:line="181" w:lineRule="exact"/>
        <w:tabs>
          <w:tab w:leader="none" w:pos="1144" w:val="left"/>
        </w:tabs>
        <w:numPr>
          <w:ilvl w:val="0"/>
          <w:numId w:val="3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Agreement Not to Offer or Sell Additional Shares</w:t>
      </w:r>
      <w:r>
        <w:rPr>
          <w:rFonts w:ascii="Times New Roman" w:cs="Times New Roman" w:eastAsia="Times New Roman" w:hAnsi="Times New Roman"/>
          <w:sz w:val="15"/>
          <w:szCs w:val="15"/>
          <w:color w:val="auto"/>
        </w:rPr>
        <w:t>. During the period commencing on and including the date hereof and continuing through and including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day following the date of the Prospectus (such period, as extended as described below, being referred to herein as the “</w:t>
      </w:r>
      <w:r>
        <w:rPr>
          <w:rFonts w:ascii="Times New Roman" w:cs="Times New Roman" w:eastAsia="Times New Roman" w:hAnsi="Times New Roman"/>
          <w:sz w:val="15"/>
          <w:szCs w:val="15"/>
          <w:b w:val="1"/>
          <w:bCs w:val="1"/>
          <w:color w:val="auto"/>
        </w:rPr>
        <w:t>Lock-up Period</w:t>
      </w:r>
      <w:r>
        <w:rPr>
          <w:rFonts w:ascii="Times New Roman" w:cs="Times New Roman" w:eastAsia="Times New Roman" w:hAnsi="Times New Roman"/>
          <w:sz w:val="15"/>
          <w:szCs w:val="15"/>
          <w:color w:val="auto"/>
        </w:rPr>
        <w:t>”), the Company will not, without the prior written consent of the Representatives (which consent may be withheld in their sole discretion), directly or indirectly: (i) sell, offer to sell, contract to sell or lend any ADSs, Ordinary Shares or Related Securities (as defined below); (ii) effect any short sale, or establish or increase any “put equivalent position” (as defined in Rule 16a-1(h) under the Exchange Act) or liquidate or decrease any “call equivalent position” (as defined in Rule 16a</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1(b) under the Exchange Act) of any ADSs, Ordinary Shares or Related Securities; (iii) pledge, hypothecate or grant any security interest in any ADSs, Ordinary Shares or Related Securities; (iv) in any other way transfer or dispose of any ADSs, Ordinary Shares or Related Securities; (v) enter into any swap, hedge or similar arrangement or agreement that transfers, in whole or in part, the economic risk of ownership of any ADSs, Ordinary Shares or Related Securities, regardless of whether any such transaction is to be settled in securities, in cash or otherwise; (vi) announce the offering of any ADSs, Ordinary Shares or Related Securities; (vii) file any registration statement under the Securities Act in respect of any ADSs, Ordinary Shares or Related Securities (other than as contemplated by this Agreement with respect to the Offered ADSs); or (viii) publicly announce the intention to do any of the foregoing;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Company may (A) issue ADSs or Ordinary Shares or grant free shares, options or warrants (including share warrants (</w:t>
      </w:r>
      <w:r>
        <w:rPr>
          <w:rFonts w:ascii="Times New Roman" w:cs="Times New Roman" w:eastAsia="Times New Roman" w:hAnsi="Times New Roman"/>
          <w:sz w:val="15"/>
          <w:szCs w:val="15"/>
          <w:i w:val="1"/>
          <w:iCs w:val="1"/>
          <w:color w:val="auto"/>
        </w:rPr>
        <w:t>bons de souscription d’actions</w:t>
      </w:r>
      <w:r>
        <w:rPr>
          <w:rFonts w:ascii="Times New Roman" w:cs="Times New Roman" w:eastAsia="Times New Roman" w:hAnsi="Times New Roman"/>
          <w:sz w:val="15"/>
          <w:szCs w:val="15"/>
          <w:color w:val="auto"/>
        </w:rPr>
        <w:t>, or BSA) and stock options (</w:t>
      </w:r>
      <w:r>
        <w:rPr>
          <w:rFonts w:ascii="Times New Roman" w:cs="Times New Roman" w:eastAsia="Times New Roman" w:hAnsi="Times New Roman"/>
          <w:sz w:val="15"/>
          <w:szCs w:val="15"/>
          <w:i w:val="1"/>
          <w:iCs w:val="1"/>
          <w:color w:val="auto"/>
        </w:rPr>
        <w:t>options de souscription d’actions</w:t>
      </w:r>
      <w:r>
        <w:rPr>
          <w:rFonts w:ascii="Times New Roman" w:cs="Times New Roman" w:eastAsia="Times New Roman" w:hAnsi="Times New Roman"/>
          <w:sz w:val="15"/>
          <w:szCs w:val="15"/>
          <w:color w:val="auto"/>
        </w:rPr>
        <w:t xml:space="preserve">) to purchase ADSs or Ordinary Shares, or procure the issuance of ADSs or Ordinary Shares upon exercise of options or warrants (including BSPCE, BSA and stock options)), pursuant to any available shareholder resolution authorizing the issuance of such ADSs or Ordinary Shares, as described in the Registration Statement, the Time of Sale Prospectus, the Prospectus and the French Public Disclosure, in connection with any employee or non-employee director or management benefit, stock option, warrant plan, stock bonus or other stock plan or arrangement, (B) file a registration statement on Form S-8 to register ADSs or Ordinary Shares issuable pursuant to the terms of a stock option, stock bonus or other similar stock plan or arrangement described in the Registration Statement, Time of Sale Prospectus, the Prospectus; (C) issue ADSs or Ordinary Shares in connection with any joint venture, commercial or collaborative relationship or the acquisition or license by the Company of the securities, business, property or other assets of another person or entity or pursuant to any employee benefit plan as assumed by the Company in connection with any such acquisition; provided, however, that in the case of clause (C), (x) such ADSs or Ordinary Shares shall not in the aggregate exceed 7.5% of the Company’s outstanding share capital immediately following the consummation of the offering of the Offered Securities contemplated by this Agreement and (y) the recipients thereof provide to the Representatives, on behalf of the Underwriters, a signed agreement substantially in the same form as the Lock-Up Agreement on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hereto; and (D) file a prospectus with the Commission related to an at-the-market sales program and issue and sell ADSs thereunder, provided that such prospectus may only be filed at least 30 days after the date of the Final Prospectus Supplement and (E) issue Ordinary Shares upon exercise of the Pre-Funded Warrants.</w:t>
      </w:r>
    </w:p>
    <w:p>
      <w:pPr>
        <w:spacing w:after="0" w:line="173" w:lineRule="exact"/>
        <w:rPr>
          <w:sz w:val="20"/>
          <w:szCs w:val="20"/>
          <w:color w:val="auto"/>
        </w:rPr>
      </w:pPr>
    </w:p>
    <w:p>
      <w:pPr>
        <w:jc w:val="both"/>
        <w:ind w:firstLine="540"/>
        <w:spacing w:after="0" w:line="268" w:lineRule="auto"/>
        <w:rPr>
          <w:sz w:val="20"/>
          <w:szCs w:val="20"/>
          <w:color w:val="auto"/>
        </w:rPr>
      </w:pPr>
      <w:r>
        <w:rPr>
          <w:rFonts w:ascii="Times New Roman" w:cs="Times New Roman" w:eastAsia="Times New Roman" w:hAnsi="Times New Roman"/>
          <w:sz w:val="15"/>
          <w:szCs w:val="15"/>
          <w:color w:val="auto"/>
        </w:rPr>
        <w:t>For purposes of the foregoing, “</w:t>
      </w:r>
      <w:r>
        <w:rPr>
          <w:rFonts w:ascii="Times New Roman" w:cs="Times New Roman" w:eastAsia="Times New Roman" w:hAnsi="Times New Roman"/>
          <w:sz w:val="15"/>
          <w:szCs w:val="15"/>
          <w:b w:val="1"/>
          <w:bCs w:val="1"/>
          <w:color w:val="auto"/>
        </w:rPr>
        <w:t>Related Securities</w:t>
      </w:r>
      <w:r>
        <w:rPr>
          <w:rFonts w:ascii="Times New Roman" w:cs="Times New Roman" w:eastAsia="Times New Roman" w:hAnsi="Times New Roman"/>
          <w:sz w:val="15"/>
          <w:szCs w:val="15"/>
          <w:color w:val="auto"/>
        </w:rPr>
        <w:t>” shall mean any options or warrants or depositary receipts evidencing ADSs or Ordinary Shares or other rights to acquire ADSs or Ordinary Shares or any securities exchangeable or exercisable for or convertible into ADSs or Ordinary Shares, or to acquire other securities or rights ultimately exchangeable or exercisable for, or convertible into, ADSs or Ordinary Shares.</w:t>
      </w:r>
    </w:p>
    <w:p>
      <w:pPr>
        <w:spacing w:after="0" w:line="147" w:lineRule="exact"/>
        <w:rPr>
          <w:sz w:val="20"/>
          <w:szCs w:val="20"/>
          <w:color w:val="auto"/>
        </w:rPr>
      </w:pPr>
    </w:p>
    <w:p>
      <w:pPr>
        <w:jc w:val="both"/>
        <w:ind w:firstLine="530"/>
        <w:spacing w:after="0" w:line="255" w:lineRule="auto"/>
        <w:tabs>
          <w:tab w:leader="none" w:pos="1225" w:val="left"/>
        </w:tabs>
        <w:numPr>
          <w:ilvl w:val="0"/>
          <w:numId w:val="3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Future Reports to the Representatives</w:t>
      </w:r>
      <w:r>
        <w:rPr>
          <w:rFonts w:ascii="Times New Roman" w:cs="Times New Roman" w:eastAsia="Times New Roman" w:hAnsi="Times New Roman"/>
          <w:sz w:val="15"/>
          <w:szCs w:val="15"/>
          <w:color w:val="auto"/>
        </w:rPr>
        <w:t xml:space="preserve">. During the period of five years hereafter, the Company will furnish to each of the Representatives at their respective notice address provided in Section 15: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Annual Report on Form 20-F, Report on Form 6-K or other report filed by the Company with the Commission or any securities exchange; and (iii) as soon as available, copies of any report or communication of the Company furnished or made available generally to holders of its share capital;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the requirements of this Section 3(o) shall be satisfied to the extent that such reports, statements, communications, financial statements or other documents are available on EDGAR or on the website of the Company.</w:t>
      </w:r>
    </w:p>
    <w:p>
      <w:pPr>
        <w:spacing w:after="0" w:line="157" w:lineRule="exact"/>
        <w:rPr>
          <w:rFonts w:ascii="Times New Roman" w:cs="Times New Roman" w:eastAsia="Times New Roman" w:hAnsi="Times New Roman"/>
          <w:sz w:val="15"/>
          <w:szCs w:val="15"/>
          <w:b w:val="1"/>
          <w:bCs w:val="1"/>
          <w:color w:val="auto"/>
        </w:rPr>
      </w:pPr>
    </w:p>
    <w:p>
      <w:pPr>
        <w:ind w:firstLine="530"/>
        <w:spacing w:after="0" w:line="280" w:lineRule="auto"/>
        <w:tabs>
          <w:tab w:leader="none" w:pos="1110" w:val="left"/>
        </w:tabs>
        <w:numPr>
          <w:ilvl w:val="0"/>
          <w:numId w:val="3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Investment Limitation</w:t>
      </w:r>
      <w:r>
        <w:rPr>
          <w:rFonts w:ascii="Times New Roman" w:cs="Times New Roman" w:eastAsia="Times New Roman" w:hAnsi="Times New Roman"/>
          <w:sz w:val="15"/>
          <w:szCs w:val="15"/>
          <w:color w:val="auto"/>
        </w:rPr>
        <w:t>. The Company shall not invest or otherwise use the proceeds received by the Company from its sale of the Offered Securities in such a manner as would require the Company or any of its subsidiaries to register as an investment company under the Investment Company Act.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295" w:right="319" w:bottom="1440" w:gutter="0" w:footer="0" w:header="0"/>
        </w:sectPr>
      </w:pPr>
    </w:p>
    <w:bookmarkStart w:id="32" w:name="page33"/>
    <w:bookmarkEnd w:id="32"/>
    <w:p>
      <w:pPr>
        <w:jc w:val="both"/>
        <w:ind w:firstLine="530"/>
        <w:spacing w:after="0" w:line="255" w:lineRule="auto"/>
        <w:tabs>
          <w:tab w:leader="none" w:pos="1177" w:val="left"/>
        </w:tabs>
        <w:numPr>
          <w:ilvl w:val="0"/>
          <w:numId w:val="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Stabilization or Manipulation; Compliance with Regulation M</w:t>
      </w:r>
      <w:r>
        <w:rPr>
          <w:rFonts w:ascii="Times New Roman" w:cs="Times New Roman" w:eastAsia="Times New Roman" w:hAnsi="Times New Roman"/>
          <w:sz w:val="15"/>
          <w:szCs w:val="15"/>
          <w:color w:val="auto"/>
        </w:rPr>
        <w:t>. The Company will not take, and will ensure that no affiliate of the Company will take, directly or indirectly, any action designed to or that might cause or result in stabilization or manipulation of the price of the Offered Securities or any reference security with respect to the Offered Securities, whether to facilitate the sale or resale of the Offered Securities or otherwise, and the Company will, and shall cause each of its affiliates to, comply with all applicable provisions of Regulation M. Neither the Company, nor any of its subsidiaries, nor any person acting on its or their behalf (other than the Underwriters with respect to whom the Company makes no such undertaking) will take, directly or indirectly, any action designed to cause or to result in, or that has constituted or that might reasonably be expected to cause or result in, the stabilization of the Offered Securities in violation of applicable European Union or French laws or manipulation of the price of any security of the Company to facilitate the sale or resale of the Offered Securities.</w:t>
      </w:r>
    </w:p>
    <w:p>
      <w:pPr>
        <w:spacing w:after="0" w:line="157" w:lineRule="exact"/>
        <w:rPr>
          <w:rFonts w:ascii="Times New Roman" w:cs="Times New Roman" w:eastAsia="Times New Roman" w:hAnsi="Times New Roman"/>
          <w:sz w:val="15"/>
          <w:szCs w:val="15"/>
          <w:b w:val="1"/>
          <w:bCs w:val="1"/>
          <w:color w:val="auto"/>
        </w:rPr>
      </w:pPr>
    </w:p>
    <w:p>
      <w:pPr>
        <w:jc w:val="both"/>
        <w:ind w:firstLine="530"/>
        <w:spacing w:after="0" w:line="260" w:lineRule="auto"/>
        <w:tabs>
          <w:tab w:leader="none" w:pos="1082" w:val="left"/>
        </w:tabs>
        <w:numPr>
          <w:ilvl w:val="0"/>
          <w:numId w:val="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Enforce Lock-Up Agreements</w:t>
      </w:r>
      <w:r>
        <w:rPr>
          <w:rFonts w:ascii="Times New Roman" w:cs="Times New Roman" w:eastAsia="Times New Roman" w:hAnsi="Times New Roman"/>
          <w:sz w:val="15"/>
          <w:szCs w:val="15"/>
          <w:color w:val="auto"/>
        </w:rPr>
        <w:t>. During the Lock-up Period, the Company will enforce all agreements between the Company and any of its security holders that restrict or prohibit, expressly or in operation, the offer, sale or transfer of ADSs, Ordinary Shares or Related Securities or any of the other actions restricted or prohibited under the terms of the form of Lock-up Agreement. In addition, the Company will direct the transfer agent, to the extent permitted under applicable law, to place stop transfer restrictions upon any such securities of the Company that are bound by such “lock-up” agreements for the duration of the periods contemplated in such agreements.</w:t>
      </w:r>
    </w:p>
    <w:p>
      <w:pPr>
        <w:spacing w:after="0" w:line="153" w:lineRule="exact"/>
        <w:rPr>
          <w:rFonts w:ascii="Times New Roman" w:cs="Times New Roman" w:eastAsia="Times New Roman" w:hAnsi="Times New Roman"/>
          <w:sz w:val="15"/>
          <w:szCs w:val="15"/>
          <w:b w:val="1"/>
          <w:bCs w:val="1"/>
          <w:color w:val="auto"/>
        </w:rPr>
      </w:pPr>
    </w:p>
    <w:p>
      <w:pPr>
        <w:jc w:val="both"/>
        <w:ind w:firstLine="530"/>
        <w:spacing w:after="0" w:line="260" w:lineRule="auto"/>
        <w:tabs>
          <w:tab w:leader="none" w:pos="1107" w:val="left"/>
        </w:tabs>
        <w:numPr>
          <w:ilvl w:val="0"/>
          <w:numId w:val="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Company to Provide Interim Financial Statements</w:t>
      </w:r>
      <w:r>
        <w:rPr>
          <w:rFonts w:ascii="Times New Roman" w:cs="Times New Roman" w:eastAsia="Times New Roman" w:hAnsi="Times New Roman"/>
          <w:sz w:val="15"/>
          <w:szCs w:val="15"/>
          <w:color w:val="auto"/>
        </w:rPr>
        <w:t>. The Company will furnish the Underwriters, as soon as practicable after they have been prepared by or are available to the Company, a copy of any unaudited interim financial statements of the Company for any period subsequent to the period covered by the most recent financial statements appearing in the Registration Statement and the Prospectus, provided that such obligation should terminate upon the later of (i) the Option Closing Date or (ii) the expiration of Underwriters’ option to purchase Option ADSs, provided that no such interim financial statements shall be required to be prepared solely as a result of this Section 3(s).</w:t>
      </w:r>
    </w:p>
    <w:p>
      <w:pPr>
        <w:spacing w:after="0" w:line="153" w:lineRule="exact"/>
        <w:rPr>
          <w:rFonts w:ascii="Times New Roman" w:cs="Times New Roman" w:eastAsia="Times New Roman" w:hAnsi="Times New Roman"/>
          <w:sz w:val="15"/>
          <w:szCs w:val="15"/>
          <w:b w:val="1"/>
          <w:bCs w:val="1"/>
          <w:color w:val="auto"/>
        </w:rPr>
      </w:pPr>
    </w:p>
    <w:p>
      <w:pPr>
        <w:jc w:val="both"/>
        <w:ind w:firstLine="530"/>
        <w:spacing w:after="0" w:line="260" w:lineRule="auto"/>
        <w:tabs>
          <w:tab w:leader="none" w:pos="1200" w:val="left"/>
        </w:tabs>
        <w:numPr>
          <w:ilvl w:val="0"/>
          <w:numId w:val="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Deposit Agreement</w:t>
      </w:r>
      <w:r>
        <w:rPr>
          <w:rFonts w:ascii="Times New Roman" w:cs="Times New Roman" w:eastAsia="Times New Roman" w:hAnsi="Times New Roman"/>
          <w:sz w:val="15"/>
          <w:szCs w:val="15"/>
          <w:color w:val="auto"/>
        </w:rPr>
        <w:t>. On or prior to the First Closing Date and the Option Closing Date, as applicable, the Company agrees (i) to deposit Ordinary Shares with the Depositary in accordance with the provisions of the Deposit Agreement and will otherwise comply with the Deposit Agreement so that ADRs evidencing the Offered ADSs will be executed (and, if applicable, countersigned) and issued by the Depositary against receipt of such Ordinary Shares and delivered to the Underwriters at such Closing Date and (ii) to otherwise comply with the terms of the Deposit Agreement, including without limitation, the covenants set forth in the Deposit Agreement.</w:t>
      </w:r>
    </w:p>
    <w:p>
      <w:pPr>
        <w:spacing w:after="0" w:line="153" w:lineRule="exact"/>
        <w:rPr>
          <w:rFonts w:ascii="Times New Roman" w:cs="Times New Roman" w:eastAsia="Times New Roman" w:hAnsi="Times New Roman"/>
          <w:sz w:val="15"/>
          <w:szCs w:val="15"/>
          <w:b w:val="1"/>
          <w:bCs w:val="1"/>
          <w:color w:val="auto"/>
        </w:rPr>
      </w:pPr>
    </w:p>
    <w:p>
      <w:pPr>
        <w:jc w:val="both"/>
        <w:ind w:firstLine="530"/>
        <w:spacing w:after="0" w:line="253" w:lineRule="auto"/>
        <w:tabs>
          <w:tab w:leader="none" w:pos="1177" w:val="left"/>
        </w:tabs>
        <w:numPr>
          <w:ilvl w:val="0"/>
          <w:numId w:val="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Tax Indemnity</w:t>
      </w:r>
      <w:r>
        <w:rPr>
          <w:rFonts w:ascii="Times New Roman" w:cs="Times New Roman" w:eastAsia="Times New Roman" w:hAnsi="Times New Roman"/>
          <w:sz w:val="15"/>
          <w:szCs w:val="15"/>
          <w:color w:val="auto"/>
        </w:rPr>
        <w:t xml:space="preserve">. The Company will indemnify and hold harmless the Underwriters against any transaction, documentary, stamp, capital or other issuance, registration, transaction, transfer or withholding tax or duty (including any financial transaction tax as set out in Article 235 ter ZD of the </w:t>
      </w:r>
      <w:r>
        <w:rPr>
          <w:rFonts w:ascii="Times New Roman" w:cs="Times New Roman" w:eastAsia="Times New Roman" w:hAnsi="Times New Roman"/>
          <w:sz w:val="15"/>
          <w:szCs w:val="15"/>
          <w:i w:val="1"/>
          <w:iCs w:val="1"/>
          <w:color w:val="auto"/>
        </w:rPr>
        <w:t>Code général des impôts</w:t>
      </w:r>
      <w:r>
        <w:rPr>
          <w:rFonts w:ascii="Times New Roman" w:cs="Times New Roman" w:eastAsia="Times New Roman" w:hAnsi="Times New Roman"/>
          <w:sz w:val="15"/>
          <w:szCs w:val="15"/>
          <w:color w:val="auto"/>
        </w:rPr>
        <w:t>), including any interest, penalties and additions to tax, in each case, that are payable by or on behalf of the Underwriters on (i) the creation, issuance, delivery and sale of the Offered Securities, the issuance of the ADSs, and the delivery of the Offered Securities to or for the account of the Underwriters; (ii) the purchase from the Company, and the initial sale and delivery by the Underwriters, of the Offered Securities to purchasers thereof; (iii) the holding or transfer of the Offered Securities or Warrant Shares to be issued upon exercise of the Pre-Funded Warrants; (iv) the deposit of the Ordinary Shares and the Warrant Shares with the Depositary and the issuance and delivery of the ADRs evidencing the ADSs; or (v) the execution, delivery and consummation of this Agreement or the Deposit Agreement or any other document to be furnished hereunder, including in respect of any payment made to the Underwriters pursuant to such agreements, other than the transfer taxes set forth in Article 726 of the French Tax Code applicable, if any such sale or transfer is evidenced by an "acte" within the meaning of such Article. Moreover, the Company will, in addition to any amount payable by it pursuant to this Section 3(u) and Section 4 (and at the same time as paying that amount), pay any VAT, sale or similar tax payable in addition to that amount.</w:t>
      </w:r>
    </w:p>
    <w:p>
      <w:pPr>
        <w:spacing w:after="0" w:line="160" w:lineRule="exact"/>
        <w:rPr>
          <w:rFonts w:ascii="Times New Roman" w:cs="Times New Roman" w:eastAsia="Times New Roman" w:hAnsi="Times New Roman"/>
          <w:sz w:val="15"/>
          <w:szCs w:val="15"/>
          <w:b w:val="1"/>
          <w:bCs w:val="1"/>
          <w:color w:val="auto"/>
        </w:rPr>
      </w:pPr>
    </w:p>
    <w:p>
      <w:pPr>
        <w:ind w:left="1080" w:hanging="550"/>
        <w:spacing w:after="0"/>
        <w:tabs>
          <w:tab w:leader="none" w:pos="1080" w:val="left"/>
        </w:tabs>
        <w:numPr>
          <w:ilvl w:val="0"/>
          <w:numId w:val="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Transfer Agent</w:t>
      </w:r>
      <w:r>
        <w:rPr>
          <w:rFonts w:ascii="Times New Roman" w:cs="Times New Roman" w:eastAsia="Times New Roman" w:hAnsi="Times New Roman"/>
          <w:sz w:val="15"/>
          <w:szCs w:val="15"/>
          <w:color w:val="auto"/>
        </w:rPr>
        <w:t>. The Company agrees to maintain a transfer agent and registrar (</w:t>
      </w:r>
      <w:r>
        <w:rPr>
          <w:rFonts w:ascii="Times New Roman" w:cs="Times New Roman" w:eastAsia="Times New Roman" w:hAnsi="Times New Roman"/>
          <w:sz w:val="15"/>
          <w:szCs w:val="15"/>
          <w:i w:val="1"/>
          <w:iCs w:val="1"/>
          <w:color w:val="auto"/>
        </w:rPr>
        <w:t>services titres</w:t>
      </w:r>
      <w:r>
        <w:rPr>
          <w:rFonts w:ascii="Times New Roman" w:cs="Times New Roman" w:eastAsia="Times New Roman" w:hAnsi="Times New Roman"/>
          <w:sz w:val="15"/>
          <w:szCs w:val="15"/>
          <w:color w:val="auto"/>
        </w:rPr>
        <w:t>) for the Ordinary Shares.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3" w:name="page34"/>
    <w:bookmarkEnd w:id="33"/>
    <w:p>
      <w:pPr>
        <w:jc w:val="both"/>
        <w:ind w:firstLine="530"/>
        <w:spacing w:after="0" w:line="256" w:lineRule="auto"/>
        <w:tabs>
          <w:tab w:leader="none" w:pos="1191"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Amendments and Supplements to Permitted Section 5(d) Communications</w:t>
      </w:r>
      <w:r>
        <w:rPr>
          <w:rFonts w:ascii="Times New Roman" w:cs="Times New Roman" w:eastAsia="Times New Roman" w:hAnsi="Times New Roman"/>
          <w:sz w:val="15"/>
          <w:szCs w:val="15"/>
          <w:color w:val="auto"/>
        </w:rPr>
        <w:t>. If at any time following the use of any Permitted Section 5(d) Communication during the period when a prospectus relating to the Offered Securities is required by the Securities Act to be delivered (whether physically or through compliance with Rule 172 under the Securities Act or any similar rule),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spacing w:after="0" w:line="156" w:lineRule="exact"/>
        <w:rPr>
          <w:rFonts w:ascii="Times New Roman" w:cs="Times New Roman" w:eastAsia="Times New Roman" w:hAnsi="Times New Roman"/>
          <w:sz w:val="15"/>
          <w:szCs w:val="15"/>
          <w:b w:val="1"/>
          <w:bCs w:val="1"/>
          <w:color w:val="auto"/>
        </w:rPr>
      </w:pPr>
    </w:p>
    <w:p>
      <w:pPr>
        <w:ind w:left="1080" w:hanging="550"/>
        <w:spacing w:after="0"/>
        <w:tabs>
          <w:tab w:leader="none" w:pos="1080"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Reserved</w:t>
      </w:r>
      <w:r>
        <w:rPr>
          <w:rFonts w:ascii="Times New Roman" w:cs="Times New Roman" w:eastAsia="Times New Roman" w:hAnsi="Times New Roman"/>
          <w:sz w:val="15"/>
          <w:szCs w:val="15"/>
          <w:color w:val="auto"/>
        </w:rPr>
        <w:t>.]</w:t>
      </w:r>
    </w:p>
    <w:p>
      <w:pPr>
        <w:spacing w:after="0" w:line="187" w:lineRule="exact"/>
        <w:rPr>
          <w:rFonts w:ascii="Times New Roman" w:cs="Times New Roman" w:eastAsia="Times New Roman" w:hAnsi="Times New Roman"/>
          <w:sz w:val="15"/>
          <w:szCs w:val="15"/>
          <w:b w:val="1"/>
          <w:bCs w:val="1"/>
          <w:color w:val="auto"/>
        </w:rPr>
      </w:pPr>
    </w:p>
    <w:p>
      <w:pPr>
        <w:ind w:right="20" w:firstLine="530"/>
        <w:spacing w:after="0" w:line="280" w:lineRule="auto"/>
        <w:tabs>
          <w:tab w:leader="none" w:pos="1191"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Euronext Notices</w:t>
      </w:r>
      <w:r>
        <w:rPr>
          <w:rFonts w:ascii="Times New Roman" w:cs="Times New Roman" w:eastAsia="Times New Roman" w:hAnsi="Times New Roman"/>
          <w:sz w:val="15"/>
          <w:szCs w:val="15"/>
          <w:color w:val="auto"/>
        </w:rPr>
        <w:t>. The Company will as soon as practicable, before or after the First Closing Date and in any event within any prescribed period of time, give such notices to, or make such filings with, Euronext or other agencies or bodies, as shall be required under any applicable laws or regulations in connection with this offering.</w:t>
      </w:r>
    </w:p>
    <w:p>
      <w:pPr>
        <w:spacing w:after="0" w:line="137" w:lineRule="exact"/>
        <w:rPr>
          <w:rFonts w:ascii="Times New Roman" w:cs="Times New Roman" w:eastAsia="Times New Roman" w:hAnsi="Times New Roman"/>
          <w:sz w:val="15"/>
          <w:szCs w:val="15"/>
          <w:b w:val="1"/>
          <w:bCs w:val="1"/>
          <w:color w:val="auto"/>
        </w:rPr>
      </w:pPr>
    </w:p>
    <w:p>
      <w:pPr>
        <w:jc w:val="both"/>
        <w:ind w:firstLine="530"/>
        <w:spacing w:after="0" w:line="276" w:lineRule="auto"/>
        <w:tabs>
          <w:tab w:leader="none" w:pos="1183"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Sales Taxes</w:t>
      </w:r>
      <w:r>
        <w:rPr>
          <w:rFonts w:ascii="Times New Roman" w:cs="Times New Roman" w:eastAsia="Times New Roman" w:hAnsi="Times New Roman"/>
          <w:sz w:val="14"/>
          <w:szCs w:val="14"/>
          <w:color w:val="auto"/>
        </w:rPr>
        <w:t>. If the performance by the Underwriters of any of their obligations under this Agreement shall represent for VAT purposes under any applicable law the making by the Underwriters of any supply of goods or services to the Company (to the extent applicable), the Company shall pay to the Underwriters, in addition to the amounts otherwise payable by the Company pursuant to this Agreement, an amount equal to the VAT chargeable on any such supply of goods and services provided that the Underwriters have issued the Company with an appropriate VAT invoice in respect of the supply to which the payment relates. Where a sum (a “</w:t>
      </w:r>
      <w:r>
        <w:rPr>
          <w:rFonts w:ascii="Times New Roman" w:cs="Times New Roman" w:eastAsia="Times New Roman" w:hAnsi="Times New Roman"/>
          <w:sz w:val="14"/>
          <w:szCs w:val="14"/>
          <w:b w:val="1"/>
          <w:bCs w:val="1"/>
          <w:color w:val="auto"/>
        </w:rPr>
        <w:t>Relevant Sum</w:t>
      </w:r>
      <w:r>
        <w:rPr>
          <w:rFonts w:ascii="Times New Roman" w:cs="Times New Roman" w:eastAsia="Times New Roman" w:hAnsi="Times New Roman"/>
          <w:sz w:val="14"/>
          <w:szCs w:val="14"/>
          <w:color w:val="auto"/>
        </w:rPr>
        <w:t>”) is paid or reimbursed to the Underwriters pursuant to this Agreement in respect of any cost, expense or other amount and that cost, expense or other amount includes an amount in respect of irrecoverable VAT (the “</w:t>
      </w:r>
      <w:r>
        <w:rPr>
          <w:rFonts w:ascii="Times New Roman" w:cs="Times New Roman" w:eastAsia="Times New Roman" w:hAnsi="Times New Roman"/>
          <w:sz w:val="14"/>
          <w:szCs w:val="14"/>
          <w:b w:val="1"/>
          <w:bCs w:val="1"/>
          <w:color w:val="auto"/>
        </w:rPr>
        <w:t>VAT Element</w:t>
      </w:r>
      <w:r>
        <w:rPr>
          <w:rFonts w:ascii="Times New Roman" w:cs="Times New Roman" w:eastAsia="Times New Roman" w:hAnsi="Times New Roman"/>
          <w:sz w:val="14"/>
          <w:szCs w:val="14"/>
          <w:color w:val="auto"/>
        </w:rPr>
        <w:t>”) which has been certified as such by the Underwriters (acting reasonably), then the Company, to the extent applicable, shall, in addition, pay an amount equal to the VAT Element to the Underwriters. For the purposes of this Agreement, “VAT” means any French or non-French value added tax, sales tax or similar tax payable in addition to the price of any supply of goods or services.</w:t>
      </w:r>
    </w:p>
    <w:p>
      <w:pPr>
        <w:spacing w:after="0" w:line="145" w:lineRule="exact"/>
        <w:rPr>
          <w:sz w:val="20"/>
          <w:szCs w:val="20"/>
          <w:color w:val="auto"/>
        </w:rPr>
      </w:pPr>
    </w:p>
    <w:p>
      <w:pPr>
        <w:jc w:val="both"/>
        <w:ind w:firstLine="530"/>
        <w:spacing w:after="0" w:line="265" w:lineRule="auto"/>
        <w:tabs>
          <w:tab w:leader="none" w:pos="1188"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Pre-Funded Warrants</w:t>
      </w:r>
      <w:r>
        <w:rPr>
          <w:rFonts w:ascii="Times New Roman" w:cs="Times New Roman" w:eastAsia="Times New Roman" w:hAnsi="Times New Roman"/>
          <w:sz w:val="15"/>
          <w:szCs w:val="15"/>
          <w:color w:val="auto"/>
        </w:rPr>
        <w:t>. The Company shall, at all times while the Company is subject to the reporting requirements of Section 13 or 15(d) of the Exchange Act and any Pre-Funded Warrants are outstanding, use its best efforts to maintain a registration statement covering the exercise of the Pre-Funded Warrants and the issue and sale of the Warrant Shares such that the Warrant Shares, when issued, will not be subject to resale restrictions under the Securities Act except to the extent that the Warrant Shares are owned by affiliates.</w:t>
      </w:r>
    </w:p>
    <w:p>
      <w:pPr>
        <w:spacing w:after="0" w:line="149" w:lineRule="exact"/>
        <w:rPr>
          <w:sz w:val="20"/>
          <w:szCs w:val="20"/>
          <w:color w:val="auto"/>
        </w:rPr>
      </w:pPr>
    </w:p>
    <w:p>
      <w:pPr>
        <w:ind w:firstLine="540"/>
        <w:spacing w:after="0" w:line="280" w:lineRule="auto"/>
        <w:rPr>
          <w:sz w:val="20"/>
          <w:szCs w:val="20"/>
          <w:color w:val="auto"/>
        </w:rPr>
      </w:pPr>
      <w:r>
        <w:rPr>
          <w:rFonts w:ascii="Times New Roman" w:cs="Times New Roman" w:eastAsia="Times New Roman" w:hAnsi="Times New Roman"/>
          <w:sz w:val="15"/>
          <w:szCs w:val="15"/>
          <w:color w:val="auto"/>
        </w:rPr>
        <w:t>The Representatives, on behalf of the several Underwriters, may, in their sole discretion, waive in writing the performance by the Company of any one or more of the foregoing covenants or extend the time for their performance.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4" w:name="page35"/>
    <w:bookmarkEnd w:id="34"/>
    <w:p>
      <w:pPr>
        <w:spacing w:after="0"/>
        <w:tabs>
          <w:tab w:leader="none" w:pos="960" w:val="left"/>
        </w:tabs>
        <w:rPr>
          <w:sz w:val="20"/>
          <w:szCs w:val="20"/>
          <w:color w:val="auto"/>
        </w:rPr>
      </w:pPr>
      <w:r>
        <w:rPr>
          <w:rFonts w:ascii="Times New Roman" w:cs="Times New Roman" w:eastAsia="Times New Roman" w:hAnsi="Times New Roman"/>
          <w:sz w:val="15"/>
          <w:szCs w:val="15"/>
          <w:b w:val="1"/>
          <w:bCs w:val="1"/>
          <w:color w:val="auto"/>
        </w:rPr>
        <w:t>Section 4.</w:t>
      </w:r>
      <w:r>
        <w:rPr>
          <w:sz w:val="20"/>
          <w:szCs w:val="20"/>
          <w:color w:val="auto"/>
        </w:rPr>
        <w:tab/>
      </w:r>
      <w:r>
        <w:rPr>
          <w:rFonts w:ascii="Times New Roman" w:cs="Times New Roman" w:eastAsia="Times New Roman" w:hAnsi="Times New Roman"/>
          <w:sz w:val="15"/>
          <w:szCs w:val="15"/>
          <w:b w:val="1"/>
          <w:bCs w:val="1"/>
          <w:color w:val="auto"/>
        </w:rPr>
        <w:t>Payment of Expenses.</w:t>
      </w:r>
    </w:p>
    <w:p>
      <w:pPr>
        <w:spacing w:after="0" w:line="192" w:lineRule="exact"/>
        <w:rPr>
          <w:sz w:val="20"/>
          <w:szCs w:val="20"/>
          <w:color w:val="auto"/>
        </w:rPr>
      </w:pPr>
    </w:p>
    <w:p>
      <w:pPr>
        <w:jc w:val="both"/>
        <w:ind w:firstLine="540"/>
        <w:spacing w:after="0" w:line="251" w:lineRule="auto"/>
        <w:rPr>
          <w:sz w:val="20"/>
          <w:szCs w:val="20"/>
          <w:color w:val="auto"/>
        </w:rPr>
      </w:pPr>
      <w:r>
        <w:rPr>
          <w:rFonts w:ascii="Times New Roman" w:cs="Times New Roman" w:eastAsia="Times New Roman" w:hAnsi="Times New Roman"/>
          <w:sz w:val="15"/>
          <w:szCs w:val="15"/>
          <w:color w:val="auto"/>
        </w:rPr>
        <w:t>The Company agrees to pay all costs, fees and expenses incurred in connection with the performance of its obligations hereunder and in connection with the transactions contemplated hereby, including without limitation (i) all expenses incident to the issuance and delivery of the Offered Securities (including all printing and engraving costs), (ii) all fees and expenses of the registrar and transfer agent of the Ordinary Shares, (iii) all fees and expenses of the Depositary related to the Offered Securities, (iv) all VAT, issue, transfer and other stamp taxes in connection with the issuance and sale of the Offered Securities to the Underwriters or in connection with the initial sale, transfer and delivery by the Underwriters of the Offered Securities to purchasers thereof (except for any transfer taxes that may be due in France as a result of the transfer of the Ordinary Shares or Offered Securities being evidenced by a written statement (</w:t>
      </w:r>
      <w:r>
        <w:rPr>
          <w:rFonts w:ascii="Times New Roman" w:cs="Times New Roman" w:eastAsia="Times New Roman" w:hAnsi="Times New Roman"/>
          <w:sz w:val="15"/>
          <w:szCs w:val="15"/>
          <w:i w:val="1"/>
          <w:iCs w:val="1"/>
          <w:color w:val="auto"/>
        </w:rPr>
        <w:t>acte</w:t>
      </w:r>
      <w:r>
        <w:rPr>
          <w:rFonts w:ascii="Times New Roman" w:cs="Times New Roman" w:eastAsia="Times New Roman" w:hAnsi="Times New Roman"/>
          <w:sz w:val="15"/>
          <w:szCs w:val="15"/>
          <w:color w:val="auto"/>
        </w:rPr>
        <w:t>)), (v) all fees and expenses of the Company’s counsels, independent public or certified public accountants and other advisors, (vi) all costs and expenses incurred in connection with the preparation, printing, filing, shipping and distribution of the Registration Statement (including financial statements, exhibits, schedules, consents and certificates of experts), the F-6 Registration Statement, the Time of Sale Prospectus, the Prospectus, the French Public Disclosure, each free writing prospectus prepared by or on behalf of, used by, or referred to by the Company, and each preliminary prospectus, each Permitted Section 5(d) Communication, and all amendments and supplements thereto, and this Agreement, (vii) all filing fees,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(viii) the costs, fees and expenses incurred by the Underwriters in connection with determining their compliance with the rules and regulations of FINRA related to the Underwriters’ participation in the offering and distribution of the Offered Securities, including any related filing fees and the legal fees of, and disbursements by, counsel to the Underwriters (such fees and expenses of counsel, together with the fees and expenses described in clause (vii) above, not to exceed $35,000 in the aggregate), (ix) the costs and expenses of the Company relating to investor presentations on any “road show”, any Permitted Section 5(d) Communication or any Section 5(d) Oral Communication undertaken in connection with the offering of the Offered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50% of the cost of any aircraft chartered, if approved by the Company, in connection with the road show (with the remaining 50% of the cost of such aircraft to be paid by the Underwriters), (x) the fees and expenses associated with the inclusion of the Offered ADSs for listing on Nasdaq and with listing the Firm Shares and all Underlying Shares and all Warrant Shares upon exercise of the Pre-Funded Warrants on Euronext and (xi) all other fees, costs and expenses of the nature referred to under the caption “Expenses Relating to this Offering” in the Registration Statement. Except as provided in this Section 4 or in Section 3, Section 7, Section 9 or Section 10 hereof, the Underwriters shall pay their own expenses, including the fees and disbursements of their counsels.</w:t>
      </w:r>
    </w:p>
    <w:p>
      <w:pPr>
        <w:spacing w:after="0" w:line="16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5"/>
          <w:szCs w:val="15"/>
          <w:b w:val="1"/>
          <w:bCs w:val="1"/>
          <w:color w:val="auto"/>
        </w:rPr>
        <w:t>Section 5.</w:t>
      </w:r>
      <w:r>
        <w:rPr>
          <w:sz w:val="20"/>
          <w:szCs w:val="20"/>
          <w:color w:val="auto"/>
        </w:rPr>
        <w:tab/>
      </w:r>
      <w:r>
        <w:rPr>
          <w:rFonts w:ascii="Times New Roman" w:cs="Times New Roman" w:eastAsia="Times New Roman" w:hAnsi="Times New Roman"/>
          <w:sz w:val="15"/>
          <w:szCs w:val="15"/>
          <w:b w:val="1"/>
          <w:bCs w:val="1"/>
          <w:color w:val="auto"/>
        </w:rPr>
        <w:t>Covenants of the Underwriters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jc w:val="both"/>
        <w:ind w:firstLine="540"/>
        <w:spacing w:after="0" w:line="265" w:lineRule="auto"/>
        <w:rPr>
          <w:sz w:val="20"/>
          <w:szCs w:val="20"/>
          <w:color w:val="auto"/>
        </w:rPr>
      </w:pPr>
      <w:r>
        <w:rPr>
          <w:rFonts w:ascii="Times New Roman" w:cs="Times New Roman" w:eastAsia="Times New Roman" w:hAnsi="Times New Roman"/>
          <w:sz w:val="15"/>
          <w:szCs w:val="15"/>
          <w:color w:val="auto"/>
        </w:rPr>
        <w:t>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b w:val="1"/>
          <w:bCs w:val="1"/>
          <w:color w:val="auto"/>
        </w:rPr>
        <w:t>Section 6. Conditions of the Obligations of the Underwriters</w:t>
      </w:r>
      <w:r>
        <w:rPr>
          <w:rFonts w:ascii="Times New Roman" w:cs="Times New Roman" w:eastAsia="Times New Roman" w:hAnsi="Times New Roman"/>
          <w:sz w:val="15"/>
          <w:szCs w:val="15"/>
          <w:color w:val="auto"/>
        </w:rPr>
        <w:t>. The respective obligations of the several Underwriters hereunder to purchase and pay for the Offered Securities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provided herein on the First Closing Date and, with respect to the Option ADSs, the Option Closing Date, shall be subject to the accuracy of the representations and warranties on the part of the Company set forth in Section 1 hereof as of the date hereof and as of the First Closing Date as though then made and, with respect to the Option ADSs, as of the Option Closing Date as though then made, to the timely performance by the Company of its covenants and other obligations hereunder, and to each of the following additional conditions:</w:t>
      </w:r>
    </w:p>
    <w:p>
      <w:pPr>
        <w:spacing w:after="0" w:line="151" w:lineRule="exact"/>
        <w:rPr>
          <w:sz w:val="20"/>
          <w:szCs w:val="20"/>
          <w:color w:val="auto"/>
        </w:rPr>
      </w:pPr>
    </w:p>
    <w:p>
      <w:pPr>
        <w:jc w:val="both"/>
        <w:ind w:firstLine="530"/>
        <w:spacing w:after="0" w:line="257" w:lineRule="auto"/>
        <w:tabs>
          <w:tab w:leader="none" w:pos="1101" w:val="left"/>
        </w:tabs>
        <w:numPr>
          <w:ilvl w:val="0"/>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Comfort Letter</w:t>
      </w:r>
      <w:r>
        <w:rPr>
          <w:rFonts w:ascii="Times New Roman" w:cs="Times New Roman" w:eastAsia="Times New Roman" w:hAnsi="Times New Roman"/>
          <w:sz w:val="15"/>
          <w:szCs w:val="15"/>
          <w:color w:val="auto"/>
        </w:rPr>
        <w:t>. On the date hereof, the Representatives shall have received from each of Ernst &amp; Young et Autres, former independent registered public accountants for the Company, and KPMG SA, current independent registered public accountants for the Company, a letter dated the date hereof addressed to the Underwriters, in form and substance reasonably satisfactory to the Representatives, containing statements and information of the type ordinarily included in accountant’s “comfort letters” to underwriters, delivered according to Statement of Auditing Standards No. 72 (or any successor bulletin), with respect to the audited and certain financial information contained in the Registration Statement, the Time of Sale Prospectus and each free writing prospectus, if any.</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5" w:name="page36"/>
    <w:bookmarkEnd w:id="35"/>
    <w:p>
      <w:pPr>
        <w:ind w:firstLine="530"/>
        <w:spacing w:after="0" w:line="280" w:lineRule="auto"/>
        <w:tabs>
          <w:tab w:leader="none" w:pos="1200" w:val="left"/>
        </w:tabs>
        <w:numPr>
          <w:ilvl w:val="0"/>
          <w:numId w:val="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Compliance with Registration Requirements; No Stop Order; No Objection from FINRA</w:t>
      </w:r>
      <w:r>
        <w:rPr>
          <w:rFonts w:ascii="Times New Roman" w:cs="Times New Roman" w:eastAsia="Times New Roman" w:hAnsi="Times New Roman"/>
          <w:sz w:val="15"/>
          <w:szCs w:val="15"/>
          <w:color w:val="auto"/>
        </w:rPr>
        <w:t>. For the period from and after the date of this Agreement and through and including the First Closing Date and, with respect to any Option ADSs purchased after the First Closing Date, the Option Closing Date:</w:t>
      </w:r>
    </w:p>
    <w:p>
      <w:pPr>
        <w:spacing w:after="0" w:line="137" w:lineRule="exact"/>
        <w:rPr>
          <w:rFonts w:ascii="Times New Roman" w:cs="Times New Roman" w:eastAsia="Times New Roman" w:hAnsi="Times New Roman"/>
          <w:sz w:val="15"/>
          <w:szCs w:val="15"/>
          <w:b w:val="1"/>
          <w:bCs w:val="1"/>
          <w:color w:val="auto"/>
        </w:rPr>
      </w:pPr>
    </w:p>
    <w:p>
      <w:pPr>
        <w:ind w:firstLine="1071"/>
        <w:spacing w:after="0" w:line="280" w:lineRule="auto"/>
        <w:tabs>
          <w:tab w:leader="none" w:pos="1655"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filed the Prospectus with the Commission (including the information previously omitted from the Registration Statement pursuant to Rule 430B under the Securities Act) in the manner and within the time period required by Rule 424(b) under the Securities Act.</w:t>
      </w:r>
    </w:p>
    <w:p>
      <w:pPr>
        <w:spacing w:after="0" w:line="137" w:lineRule="exact"/>
        <w:rPr>
          <w:rFonts w:ascii="Times New Roman" w:cs="Times New Roman" w:eastAsia="Times New Roman" w:hAnsi="Times New Roman"/>
          <w:sz w:val="15"/>
          <w:szCs w:val="15"/>
          <w:color w:val="auto"/>
        </w:rPr>
      </w:pPr>
    </w:p>
    <w:p>
      <w:pPr>
        <w:jc w:val="both"/>
        <w:ind w:firstLine="1071"/>
        <w:spacing w:after="0" w:line="265" w:lineRule="auto"/>
        <w:tabs>
          <w:tab w:leader="none" w:pos="1657"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stop order suspending the effectiveness of the Registration Statement or any post-effective amendment to the Registration Statement or the F-6 Registration Statement or any post-effective amendment to the F-6 Registration Statement shall be in effect, and no proceedings for such purpose shall have been instituted or threatened by the Commission.</w:t>
      </w:r>
    </w:p>
    <w:p>
      <w:pPr>
        <w:spacing w:after="0" w:line="149" w:lineRule="exact"/>
        <w:rPr>
          <w:rFonts w:ascii="Times New Roman" w:cs="Times New Roman" w:eastAsia="Times New Roman" w:hAnsi="Times New Roman"/>
          <w:sz w:val="15"/>
          <w:szCs w:val="15"/>
          <w:color w:val="auto"/>
        </w:rPr>
      </w:pPr>
    </w:p>
    <w:p>
      <w:pPr>
        <w:ind w:left="1680" w:hanging="609"/>
        <w:spacing w:after="0"/>
        <w:tabs>
          <w:tab w:leader="none" w:pos="1680"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filing has been made with FINRA, FINRA shall have raised no objection to the fairness and reasonableness of the underwriting terms and arrangements.</w:t>
      </w:r>
    </w:p>
    <w:p>
      <w:pPr>
        <w:spacing w:after="0" w:line="187" w:lineRule="exact"/>
        <w:rPr>
          <w:rFonts w:ascii="Times New Roman" w:cs="Times New Roman" w:eastAsia="Times New Roman" w:hAnsi="Times New Roman"/>
          <w:sz w:val="15"/>
          <w:szCs w:val="15"/>
          <w:color w:val="auto"/>
        </w:rPr>
      </w:pPr>
    </w:p>
    <w:p>
      <w:pPr>
        <w:ind w:right="20" w:firstLine="530"/>
        <w:spacing w:after="0" w:line="280" w:lineRule="auto"/>
        <w:tabs>
          <w:tab w:leader="none" w:pos="1093" w:val="left"/>
        </w:tabs>
        <w:numPr>
          <w:ilvl w:val="0"/>
          <w:numId w:val="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Material Adverse Change</w:t>
      </w:r>
      <w:r>
        <w:rPr>
          <w:rFonts w:ascii="Times New Roman" w:cs="Times New Roman" w:eastAsia="Times New Roman" w:hAnsi="Times New Roman"/>
          <w:sz w:val="15"/>
          <w:szCs w:val="15"/>
          <w:color w:val="auto"/>
        </w:rPr>
        <w:t>. For the period from and after the date of this Agreement and through and including the First Closing Date and, with respect to any Option ADSs purchased after the First Closing Date, the Option Closing Date in the judgment of the Representatives there shall not have occurred any Material Adverse Change.</w:t>
      </w:r>
    </w:p>
    <w:p>
      <w:pPr>
        <w:spacing w:after="0" w:line="137" w:lineRule="exact"/>
        <w:rPr>
          <w:rFonts w:ascii="Times New Roman" w:cs="Times New Roman" w:eastAsia="Times New Roman" w:hAnsi="Times New Roman"/>
          <w:sz w:val="15"/>
          <w:szCs w:val="15"/>
          <w:b w:val="1"/>
          <w:bCs w:val="1"/>
          <w:color w:val="auto"/>
        </w:rPr>
      </w:pPr>
    </w:p>
    <w:p>
      <w:pPr>
        <w:ind w:right="20" w:firstLine="530"/>
        <w:spacing w:after="0" w:line="280" w:lineRule="auto"/>
        <w:tabs>
          <w:tab w:leader="none" w:pos="1121" w:val="left"/>
        </w:tabs>
        <w:numPr>
          <w:ilvl w:val="0"/>
          <w:numId w:val="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Opinion of U.S. Counsel for the Company</w:t>
      </w:r>
      <w:r>
        <w:rPr>
          <w:rFonts w:ascii="Times New Roman" w:cs="Times New Roman" w:eastAsia="Times New Roman" w:hAnsi="Times New Roman"/>
          <w:sz w:val="15"/>
          <w:szCs w:val="15"/>
          <w:color w:val="auto"/>
        </w:rPr>
        <w:t>. On each of the First Closing Date and the Option Closing Date, the Representatives shall have received the opinion of Jones Day, U.S. counsel for the Company, dated as of such date, in form and substance satisfactory to the Representatives.</w:t>
      </w:r>
    </w:p>
    <w:p>
      <w:pPr>
        <w:spacing w:after="0" w:line="137" w:lineRule="exact"/>
        <w:rPr>
          <w:rFonts w:ascii="Times New Roman" w:cs="Times New Roman" w:eastAsia="Times New Roman" w:hAnsi="Times New Roman"/>
          <w:sz w:val="15"/>
          <w:szCs w:val="15"/>
          <w:b w:val="1"/>
          <w:bCs w:val="1"/>
          <w:color w:val="auto"/>
        </w:rPr>
      </w:pPr>
    </w:p>
    <w:p>
      <w:pPr>
        <w:ind w:firstLine="530"/>
        <w:spacing w:after="0" w:line="280" w:lineRule="auto"/>
        <w:tabs>
          <w:tab w:leader="none" w:pos="1116" w:val="left"/>
        </w:tabs>
        <w:numPr>
          <w:ilvl w:val="0"/>
          <w:numId w:val="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Opinion of French Counsel for the Company</w:t>
      </w:r>
      <w:r>
        <w:rPr>
          <w:rFonts w:ascii="Times New Roman" w:cs="Times New Roman" w:eastAsia="Times New Roman" w:hAnsi="Times New Roman"/>
          <w:sz w:val="15"/>
          <w:szCs w:val="15"/>
          <w:color w:val="auto"/>
        </w:rPr>
        <w:t>. On the First Closing Date and the Option Closing Date, the Representatives shall have received the opinion of Jones Day, French counsel for the Company, dated as of such date, in form and substance satisfactory to the Representatives.</w:t>
      </w:r>
    </w:p>
    <w:p>
      <w:pPr>
        <w:spacing w:after="0" w:line="137" w:lineRule="exact"/>
        <w:rPr>
          <w:rFonts w:ascii="Times New Roman" w:cs="Times New Roman" w:eastAsia="Times New Roman" w:hAnsi="Times New Roman"/>
          <w:sz w:val="15"/>
          <w:szCs w:val="15"/>
          <w:b w:val="1"/>
          <w:bCs w:val="1"/>
          <w:color w:val="auto"/>
        </w:rPr>
      </w:pPr>
    </w:p>
    <w:p>
      <w:pPr>
        <w:jc w:val="both"/>
        <w:ind w:firstLine="530"/>
        <w:spacing w:after="0" w:line="265" w:lineRule="auto"/>
        <w:tabs>
          <w:tab w:leader="none" w:pos="1121" w:val="left"/>
        </w:tabs>
        <w:numPr>
          <w:ilvl w:val="0"/>
          <w:numId w:val="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Opinion of Intellectual Property Counsel for the Company</w:t>
      </w:r>
      <w:r>
        <w:rPr>
          <w:rFonts w:ascii="Times New Roman" w:cs="Times New Roman" w:eastAsia="Times New Roman" w:hAnsi="Times New Roman"/>
          <w:sz w:val="15"/>
          <w:szCs w:val="15"/>
          <w:color w:val="auto"/>
        </w:rPr>
        <w:t>. On each of the First Closing Date and the Option Closing Date, the Representatives shall have received the opinions of Dreyfus &amp; Associates, Becker &amp; Associates and Saliwanchik, Lloyd &amp; Eisenschenk, counsel for the Company with respect to intellectual property matters, dated as of such date, in form and substance satisfactory to the Representatives and to such further effect as the Representatives shall reasonably request.</w:t>
      </w:r>
    </w:p>
    <w:p>
      <w:pPr>
        <w:spacing w:after="0" w:line="149" w:lineRule="exact"/>
        <w:rPr>
          <w:rFonts w:ascii="Times New Roman" w:cs="Times New Roman" w:eastAsia="Times New Roman" w:hAnsi="Times New Roman"/>
          <w:sz w:val="15"/>
          <w:szCs w:val="15"/>
          <w:b w:val="1"/>
          <w:bCs w:val="1"/>
          <w:color w:val="auto"/>
        </w:rPr>
      </w:pPr>
    </w:p>
    <w:p>
      <w:pPr>
        <w:jc w:val="both"/>
        <w:ind w:firstLine="530"/>
        <w:spacing w:after="0" w:line="265" w:lineRule="auto"/>
        <w:tabs>
          <w:tab w:leader="none" w:pos="1113" w:val="left"/>
        </w:tabs>
        <w:numPr>
          <w:ilvl w:val="0"/>
          <w:numId w:val="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Opinion of Counsel for the Depositary</w:t>
      </w:r>
      <w:r>
        <w:rPr>
          <w:rFonts w:ascii="Times New Roman" w:cs="Times New Roman" w:eastAsia="Times New Roman" w:hAnsi="Times New Roman"/>
          <w:sz w:val="15"/>
          <w:szCs w:val="15"/>
          <w:color w:val="auto"/>
        </w:rPr>
        <w:t>. On each of the First Closing Date and the Option Closing Date, the Representatives shall have received the opinion of Patterson Belknap Webb &amp; Tyler LP, counsel for the Depositary, dated as of such date, in form and substance satisfactory to the Representatives and to such further effect as the Representatives shall reasonably request.</w:t>
      </w:r>
    </w:p>
    <w:p>
      <w:pPr>
        <w:spacing w:after="0" w:line="149" w:lineRule="exact"/>
        <w:rPr>
          <w:rFonts w:ascii="Times New Roman" w:cs="Times New Roman" w:eastAsia="Times New Roman" w:hAnsi="Times New Roman"/>
          <w:sz w:val="15"/>
          <w:szCs w:val="15"/>
          <w:b w:val="1"/>
          <w:bCs w:val="1"/>
          <w:color w:val="auto"/>
        </w:rPr>
      </w:pPr>
    </w:p>
    <w:p>
      <w:pPr>
        <w:jc w:val="both"/>
        <w:ind w:firstLine="530"/>
        <w:spacing w:after="0" w:line="317" w:lineRule="auto"/>
        <w:tabs>
          <w:tab w:leader="none" w:pos="1177"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Opinion of U.S. Counsel for the Underwriters</w:t>
      </w:r>
      <w:r>
        <w:rPr>
          <w:rFonts w:ascii="Times New Roman" w:cs="Times New Roman" w:eastAsia="Times New Roman" w:hAnsi="Times New Roman"/>
          <w:sz w:val="14"/>
          <w:szCs w:val="14"/>
          <w:color w:val="auto"/>
        </w:rPr>
        <w:t>. On each of the First Closing Date and the Option Closing Date the Representatives shall have received the opinion of Cooley LLP, U.S. counsel for the Underwriters in connection with the offer and sale of the Offered Securities, in form and substance satisfactory to the Underwriters, dated as of such date.</w:t>
      </w:r>
    </w:p>
    <w:p>
      <w:pPr>
        <w:spacing w:after="0" w:line="115" w:lineRule="exact"/>
        <w:rPr>
          <w:rFonts w:ascii="Times New Roman" w:cs="Times New Roman" w:eastAsia="Times New Roman" w:hAnsi="Times New Roman"/>
          <w:sz w:val="14"/>
          <w:szCs w:val="14"/>
          <w:b w:val="1"/>
          <w:bCs w:val="1"/>
          <w:color w:val="auto"/>
        </w:rPr>
      </w:pPr>
    </w:p>
    <w:p>
      <w:pPr>
        <w:jc w:val="both"/>
        <w:ind w:firstLine="530"/>
        <w:spacing w:after="0" w:line="265" w:lineRule="auto"/>
        <w:tabs>
          <w:tab w:leader="none" w:pos="1102" w:val="left"/>
        </w:tabs>
        <w:numPr>
          <w:ilvl w:val="0"/>
          <w:numId w:val="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Opinion of French Counsel for the Underwriters</w:t>
      </w:r>
      <w:r>
        <w:rPr>
          <w:rFonts w:ascii="Times New Roman" w:cs="Times New Roman" w:eastAsia="Times New Roman" w:hAnsi="Times New Roman"/>
          <w:sz w:val="15"/>
          <w:szCs w:val="15"/>
          <w:color w:val="auto"/>
        </w:rPr>
        <w:t>. On each of the First Closing Date and the Option Closing Date the Representatives shall have received the opinion of Gide Loyrette Nouel A.A.R.P.I., French counsel for the Underwriters in connection with the offer and sale of the Offered Securities, in form and substance satisfactory to the Underwriters, dated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-3905250</wp:posOffset>
            </wp:positionV>
            <wp:extent cx="3556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-3919855</wp:posOffset>
            </wp:positionV>
            <wp:extent cx="3111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 cy="6985"/>
                    </a:xfrm>
                    <a:prstGeom prst="rect">
                      <a:avLst/>
                    </a:prstGeom>
                    <a:noFill/>
                  </pic:spPr>
                </pic:pic>
              </a:graphicData>
            </a:graphic>
          </wp:anchor>
        </w:drawing>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6" w:name="page37"/>
    <w:bookmarkEnd w:id="36"/>
    <w:p>
      <w:pPr>
        <w:ind w:firstLine="530"/>
        <w:spacing w:after="0" w:line="280" w:lineRule="auto"/>
        <w:tabs>
          <w:tab w:leader="none" w:pos="1121"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Officers’ Certificate</w:t>
      </w:r>
      <w:r>
        <w:rPr>
          <w:rFonts w:ascii="Times New Roman" w:cs="Times New Roman" w:eastAsia="Times New Roman" w:hAnsi="Times New Roman"/>
          <w:sz w:val="15"/>
          <w:szCs w:val="15"/>
          <w:color w:val="auto"/>
        </w:rPr>
        <w:t>. On each of the First Closing Date and the Option Closing Date, the Representatives shall have received a certificate executed by the Chairman of the Executive Board and the Chief Financial Officer of the Company, dated as of such date, to the effect set forth in Section 6(b)(ii) and further to the effect that:</w:t>
      </w:r>
    </w:p>
    <w:p>
      <w:pPr>
        <w:spacing w:after="0" w:line="137" w:lineRule="exact"/>
        <w:rPr>
          <w:rFonts w:ascii="Times New Roman" w:cs="Times New Roman" w:eastAsia="Times New Roman" w:hAnsi="Times New Roman"/>
          <w:sz w:val="15"/>
          <w:szCs w:val="15"/>
          <w:b w:val="1"/>
          <w:bCs w:val="1"/>
          <w:color w:val="auto"/>
        </w:rPr>
      </w:pPr>
    </w:p>
    <w:p>
      <w:pPr>
        <w:ind w:left="1580" w:hanging="509"/>
        <w:spacing w:after="0"/>
        <w:tabs>
          <w:tab w:leader="none" w:pos="1580"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period from and including the date of this Agreement through and including such date, there has not occurred any Material Adverse Change;</w:t>
      </w:r>
    </w:p>
    <w:p>
      <w:pPr>
        <w:spacing w:after="0" w:line="187" w:lineRule="exact"/>
        <w:rPr>
          <w:rFonts w:ascii="Times New Roman" w:cs="Times New Roman" w:eastAsia="Times New Roman" w:hAnsi="Times New Roman"/>
          <w:sz w:val="15"/>
          <w:szCs w:val="15"/>
          <w:color w:val="auto"/>
        </w:rPr>
      </w:pPr>
    </w:p>
    <w:p>
      <w:pPr>
        <w:ind w:firstLine="1071"/>
        <w:spacing w:after="0" w:line="280" w:lineRule="auto"/>
        <w:tabs>
          <w:tab w:leader="none" w:pos="1717"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warranties and covenants of the Company set forth in Section 1 of this Agreement are true and correct with the same force and effect as though expressly made on and as of such date; and</w:t>
      </w:r>
    </w:p>
    <w:p>
      <w:pPr>
        <w:spacing w:after="0" w:line="137" w:lineRule="exact"/>
        <w:rPr>
          <w:rFonts w:ascii="Times New Roman" w:cs="Times New Roman" w:eastAsia="Times New Roman" w:hAnsi="Times New Roman"/>
          <w:sz w:val="15"/>
          <w:szCs w:val="15"/>
          <w:color w:val="auto"/>
        </w:rPr>
      </w:pPr>
    </w:p>
    <w:p>
      <w:pPr>
        <w:ind w:left="1740" w:hanging="669"/>
        <w:spacing w:after="0"/>
        <w:tabs>
          <w:tab w:leader="none" w:pos="1740"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complied with all the agreements hereunder and satisfied all the conditions on its part to be performed or satisfied hereunder at or prior to</w:t>
      </w:r>
    </w:p>
    <w:p>
      <w:pPr>
        <w:spacing w:after="0" w:line="2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date.</w:t>
      </w:r>
    </w:p>
    <w:p>
      <w:pPr>
        <w:spacing w:after="0" w:line="172" w:lineRule="exact"/>
        <w:rPr>
          <w:rFonts w:ascii="Times New Roman" w:cs="Times New Roman" w:eastAsia="Times New Roman" w:hAnsi="Times New Roman"/>
          <w:sz w:val="15"/>
          <w:szCs w:val="15"/>
          <w:color w:val="auto"/>
        </w:rPr>
      </w:pPr>
    </w:p>
    <w:p>
      <w:pPr>
        <w:jc w:val="both"/>
        <w:ind w:firstLine="530"/>
        <w:spacing w:after="0" w:line="261" w:lineRule="auto"/>
        <w:tabs>
          <w:tab w:leader="none" w:pos="1177"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Corporate Documentation.</w:t>
      </w:r>
      <w:r>
        <w:rPr>
          <w:rFonts w:ascii="Times New Roman" w:cs="Times New Roman" w:eastAsia="Times New Roman" w:hAnsi="Times New Roman"/>
          <w:sz w:val="15"/>
          <w:szCs w:val="15"/>
          <w:color w:val="auto"/>
        </w:rPr>
        <w:t xml:space="preserve"> On the First Closing Date, the Underwriters shall have received an electronic copy of (i) the up-to-date bylaws (</w:t>
      </w:r>
      <w:r>
        <w:rPr>
          <w:rFonts w:ascii="Times New Roman" w:cs="Times New Roman" w:eastAsia="Times New Roman" w:hAnsi="Times New Roman"/>
          <w:sz w:val="15"/>
          <w:szCs w:val="15"/>
          <w:i w:val="1"/>
          <w:iCs w:val="1"/>
          <w:color w:val="auto"/>
        </w:rPr>
        <w:t>statuts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extrait K-bis</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 xml:space="preserve">certificat de non-faillite </w:t>
      </w:r>
      <w:r>
        <w:rPr>
          <w:rFonts w:ascii="Times New Roman" w:cs="Times New Roman" w:eastAsia="Times New Roman" w:hAnsi="Times New Roman"/>
          <w:sz w:val="15"/>
          <w:szCs w:val="15"/>
          <w:color w:val="auto"/>
        </w:rPr>
        <w:t>of the Company dated less than five business days before the First Closing Date and (ii) certified extracts of the minutes of the resolutions of the Company’s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combined general shareholders’ meeting dated May 19, 2025 and the decisions of the supervisory board dated May 20, 2026 and of the executive board dated May 20, 2026 and May 21, 2026.</w:t>
      </w:r>
    </w:p>
    <w:p>
      <w:pPr>
        <w:spacing w:after="0" w:line="152" w:lineRule="exact"/>
        <w:rPr>
          <w:rFonts w:ascii="Times New Roman" w:cs="Times New Roman" w:eastAsia="Times New Roman" w:hAnsi="Times New Roman"/>
          <w:sz w:val="15"/>
          <w:szCs w:val="15"/>
          <w:b w:val="1"/>
          <w:bCs w:val="1"/>
          <w:color w:val="auto"/>
        </w:rPr>
      </w:pPr>
    </w:p>
    <w:p>
      <w:pPr>
        <w:jc w:val="both"/>
        <w:ind w:firstLine="530"/>
        <w:spacing w:after="0" w:line="257" w:lineRule="auto"/>
        <w:tabs>
          <w:tab w:leader="none" w:pos="1170"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Bring-down Comfort Letter</w:t>
      </w:r>
      <w:r>
        <w:rPr>
          <w:rFonts w:ascii="Times New Roman" w:cs="Times New Roman" w:eastAsia="Times New Roman" w:hAnsi="Times New Roman"/>
          <w:sz w:val="15"/>
          <w:szCs w:val="15"/>
          <w:color w:val="auto"/>
        </w:rPr>
        <w:t>. On each of the First Closing Date and the Option Closing Date the Representatives shall have received from each of Ernst &amp; Young et Autres, former independent registered public accountants for the Company, and KPMG SA, current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Option Closing Date, as the case may be; and (ii) cover certain financial information contained in the Prospectus.</w:t>
      </w:r>
    </w:p>
    <w:p>
      <w:pPr>
        <w:spacing w:after="0" w:line="157" w:lineRule="exact"/>
        <w:rPr>
          <w:rFonts w:ascii="Times New Roman" w:cs="Times New Roman" w:eastAsia="Times New Roman" w:hAnsi="Times New Roman"/>
          <w:sz w:val="15"/>
          <w:szCs w:val="15"/>
          <w:b w:val="1"/>
          <w:bCs w:val="1"/>
          <w:color w:val="auto"/>
        </w:rPr>
      </w:pPr>
    </w:p>
    <w:p>
      <w:pPr>
        <w:ind w:firstLine="530"/>
        <w:spacing w:after="0" w:line="280" w:lineRule="auto"/>
        <w:tabs>
          <w:tab w:leader="none" w:pos="1163"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Lock-Up Agreements</w:t>
      </w:r>
      <w:r>
        <w:rPr>
          <w:rFonts w:ascii="Times New Roman" w:cs="Times New Roman" w:eastAsia="Times New Roman" w:hAnsi="Times New Roman"/>
          <w:sz w:val="15"/>
          <w:szCs w:val="15"/>
          <w:color w:val="auto"/>
        </w:rPr>
        <w:t xml:space="preserve">. On or prior to the date hereof, the Company shall have furnished to the Representatives an agreement in the form of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hereto from each of the persons listed on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hereto, and each such agreement shall be in full force and effect on each of the First Closing Date and the Option Closing Date.</w:t>
      </w:r>
    </w:p>
    <w:p>
      <w:pPr>
        <w:spacing w:after="0" w:line="137" w:lineRule="exact"/>
        <w:rPr>
          <w:rFonts w:ascii="Times New Roman" w:cs="Times New Roman" w:eastAsia="Times New Roman" w:hAnsi="Times New Roman"/>
          <w:sz w:val="15"/>
          <w:szCs w:val="15"/>
          <w:b w:val="1"/>
          <w:bCs w:val="1"/>
          <w:color w:val="auto"/>
        </w:rPr>
      </w:pPr>
    </w:p>
    <w:p>
      <w:pPr>
        <w:ind w:firstLine="530"/>
        <w:spacing w:after="0" w:line="280" w:lineRule="auto"/>
        <w:tabs>
          <w:tab w:leader="none" w:pos="1110"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Rule 462(b) Registration Statement</w:t>
      </w:r>
      <w:r>
        <w:rPr>
          <w:rFonts w:ascii="Times New Roman" w:cs="Times New Roman" w:eastAsia="Times New Roman" w:hAnsi="Times New Roman"/>
          <w:sz w:val="15"/>
          <w:szCs w:val="15"/>
          <w:color w:val="auto"/>
        </w:rPr>
        <w:t>. In the event that a Rule 462(b) Registration Statement is filed in connection with the offering contemplated by this Agreement, such Rule 462(b) Registration Statement shall have been filed with the Commission on the date of this Agreement and shall have become effective automatically upon such filing.</w:t>
      </w:r>
    </w:p>
    <w:p>
      <w:pPr>
        <w:spacing w:after="0" w:line="137" w:lineRule="exact"/>
        <w:rPr>
          <w:rFonts w:ascii="Times New Roman" w:cs="Times New Roman" w:eastAsia="Times New Roman" w:hAnsi="Times New Roman"/>
          <w:sz w:val="15"/>
          <w:szCs w:val="15"/>
          <w:b w:val="1"/>
          <w:bCs w:val="1"/>
          <w:color w:val="auto"/>
        </w:rPr>
      </w:pPr>
    </w:p>
    <w:p>
      <w:pPr>
        <w:ind w:right="20" w:firstLine="530"/>
        <w:spacing w:after="0" w:line="280" w:lineRule="auto"/>
        <w:tabs>
          <w:tab w:leader="none" w:pos="1101"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Approval of Listing</w:t>
      </w:r>
      <w:r>
        <w:rPr>
          <w:rFonts w:ascii="Times New Roman" w:cs="Times New Roman" w:eastAsia="Times New Roman" w:hAnsi="Times New Roman"/>
          <w:sz w:val="15"/>
          <w:szCs w:val="15"/>
          <w:color w:val="auto"/>
        </w:rPr>
        <w:t>. At the First Closing Date, the Firm Shares and the Underlying Shares shall have been approved for listing on Euronext, in each case subject only to official notice of issuance.</w:t>
      </w:r>
    </w:p>
    <w:p>
      <w:pPr>
        <w:spacing w:after="0" w:line="135" w:lineRule="exact"/>
        <w:rPr>
          <w:rFonts w:ascii="Times New Roman" w:cs="Times New Roman" w:eastAsia="Times New Roman" w:hAnsi="Times New Roman"/>
          <w:sz w:val="15"/>
          <w:szCs w:val="15"/>
          <w:b w:val="1"/>
          <w:bCs w:val="1"/>
          <w:color w:val="auto"/>
        </w:rPr>
      </w:pPr>
    </w:p>
    <w:p>
      <w:pPr>
        <w:jc w:val="both"/>
        <w:ind w:firstLine="530"/>
        <w:spacing w:after="0" w:line="261" w:lineRule="auto"/>
        <w:tabs>
          <w:tab w:leader="none" w:pos="1256"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i w:val="1"/>
          <w:iCs w:val="1"/>
          <w:u w:val="single" w:color="auto"/>
          <w:color w:val="auto"/>
        </w:rPr>
        <w:t>Certificat du dépositaire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On the First Closing Date, once it has received the funds corresponding to the subscription of the applicable Offered Securities and/or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irrevocably pre-matched settlement instructions with Jefferies, as a Representative of the Underwriters for purposes of settlement and delivery of the Offered Securities, as the case may be, the Registrar shall issue one depositary certificate (</w:t>
      </w:r>
      <w:r>
        <w:rPr>
          <w:rFonts w:ascii="Times New Roman" w:cs="Times New Roman" w:eastAsia="Times New Roman" w:hAnsi="Times New Roman"/>
          <w:sz w:val="15"/>
          <w:szCs w:val="15"/>
          <w:i w:val="1"/>
          <w:iCs w:val="1"/>
          <w:color w:val="auto"/>
        </w:rPr>
        <w:t>certificat du dépositaire</w:t>
      </w:r>
      <w:r>
        <w:rPr>
          <w:rFonts w:ascii="Times New Roman" w:cs="Times New Roman" w:eastAsia="Times New Roman" w:hAnsi="Times New Roman"/>
          <w:sz w:val="15"/>
          <w:szCs w:val="15"/>
          <w:color w:val="auto"/>
        </w:rPr>
        <w:t>) provided for by Article L. 225-146 of the French Commercial Code, relating to the capital increase of the Company resulting from the subscription of the Offered Securities, and shall send a copy thereof to the Company and the Representatives.</w:t>
      </w:r>
    </w:p>
    <w:p>
      <w:pPr>
        <w:spacing w:after="0" w:line="152" w:lineRule="exact"/>
        <w:rPr>
          <w:rFonts w:ascii="Times New Roman" w:cs="Times New Roman" w:eastAsia="Times New Roman" w:hAnsi="Times New Roman"/>
          <w:sz w:val="15"/>
          <w:szCs w:val="15"/>
          <w:b w:val="1"/>
          <w:bCs w:val="1"/>
          <w:color w:val="auto"/>
        </w:rPr>
      </w:pPr>
    </w:p>
    <w:p>
      <w:pPr>
        <w:jc w:val="both"/>
        <w:ind w:firstLine="530"/>
        <w:spacing w:after="0" w:line="260" w:lineRule="auto"/>
        <w:tabs>
          <w:tab w:leader="none" w:pos="1267"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Deposit Agreement</w:t>
      </w:r>
      <w:r>
        <w:rPr>
          <w:rFonts w:ascii="Times New Roman" w:cs="Times New Roman" w:eastAsia="Times New Roman" w:hAnsi="Times New Roman"/>
          <w:sz w:val="15"/>
          <w:szCs w:val="15"/>
          <w:color w:val="auto"/>
        </w:rPr>
        <w:t>. The Deposit Agreement shall be in full force and effect. The Depositary shall have delivered to the Company certificates satisfactory to the Underwriters evidencing the deposit with the Depositary or its nominee of the Underlying Shares being so deposited against issuance of ADRs evidencing the ADSs to be delivered by the Company at the First Closing Date or the Option Closing Date, as the case may be, and the execution, countersignature (if applicable), issuance and delivery of ADRs evidencing such ADSs pursuant to the Deposit Agreement.</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7" w:name="page38"/>
    <w:bookmarkEnd w:id="37"/>
    <w:p>
      <w:pPr>
        <w:jc w:val="both"/>
        <w:ind w:firstLine="530"/>
        <w:spacing w:after="0" w:line="265" w:lineRule="auto"/>
        <w:tabs>
          <w:tab w:leader="none" w:pos="1239" w:val="left"/>
        </w:tabs>
        <w:numPr>
          <w:ilvl w:val="0"/>
          <w:numId w:val="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Chief Financial Officer’s Certificate</w:t>
      </w:r>
      <w:r>
        <w:rPr>
          <w:rFonts w:ascii="Times New Roman" w:cs="Times New Roman" w:eastAsia="Times New Roman" w:hAnsi="Times New Roman"/>
          <w:sz w:val="15"/>
          <w:szCs w:val="15"/>
          <w:color w:val="auto"/>
        </w:rPr>
        <w:t>. On the date of this Agreement and on each of the First Closing Date and the Option Closing Date, the Company shall have furnished to the Representatives a certificate, dated the respective dates of delivery thereof and addressed to the Underwriters, of its Chief Financial Officer with respect to certain financial data contained in the Registration Statement, the Time of Sale Prospectus and the Prospectus, in form and substance reasonably satisfactory to the Representatives.</w:t>
      </w:r>
    </w:p>
    <w:p>
      <w:pPr>
        <w:spacing w:after="0" w:line="149" w:lineRule="exact"/>
        <w:rPr>
          <w:rFonts w:ascii="Times New Roman" w:cs="Times New Roman" w:eastAsia="Times New Roman" w:hAnsi="Times New Roman"/>
          <w:sz w:val="15"/>
          <w:szCs w:val="15"/>
          <w:b w:val="1"/>
          <w:bCs w:val="1"/>
          <w:color w:val="auto"/>
        </w:rPr>
      </w:pPr>
    </w:p>
    <w:p>
      <w:pPr>
        <w:jc w:val="both"/>
        <w:ind w:firstLine="530"/>
        <w:spacing w:after="0" w:line="260" w:lineRule="auto"/>
        <w:tabs>
          <w:tab w:leader="none" w:pos="1197" w:val="left"/>
        </w:tabs>
        <w:numPr>
          <w:ilvl w:val="0"/>
          <w:numId w:val="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Additional Documents</w:t>
      </w:r>
      <w:r>
        <w:rPr>
          <w:rFonts w:ascii="Times New Roman" w:cs="Times New Roman" w:eastAsia="Times New Roman" w:hAnsi="Times New Roman"/>
          <w:sz w:val="15"/>
          <w:szCs w:val="15"/>
          <w:color w:val="auto"/>
        </w:rPr>
        <w:t>. On or before each of the First Closing Date and the Option Closing Date, the Representatives and counsels for the Underwriters shall have received such customary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w:t>
      </w:r>
    </w:p>
    <w:p>
      <w:pPr>
        <w:spacing w:after="0" w:line="153"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15"/>
          <w:szCs w:val="15"/>
          <w:color w:val="auto"/>
        </w:rPr>
        <w:t>If any condition specified in this Section 6 is not satisfied when and as required to be satisfied, this Agreement may be terminated by the Representatives by written notice from the Representatives to the Company at any time on or prior to the First Closing Date and, with respect to the Option ADSs, at any time on or prior to the Option Closing Date, which termination shall be without liability on the part of any party to any other party, except that Section 4, Section 7, Section 9 and Section 10 shall at all times be effective and shall survive such termination.</w:t>
      </w:r>
    </w:p>
    <w:p>
      <w:pPr>
        <w:spacing w:after="0" w:line="14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b w:val="1"/>
          <w:bCs w:val="1"/>
          <w:color w:val="auto"/>
        </w:rPr>
        <w:t xml:space="preserve">Section 7. Reimbursement of Underwriters’ Expenses. </w:t>
      </w:r>
      <w:r>
        <w:rPr>
          <w:rFonts w:ascii="Times New Roman" w:cs="Times New Roman" w:eastAsia="Times New Roman" w:hAnsi="Times New Roman"/>
          <w:sz w:val="14"/>
          <w:szCs w:val="14"/>
          <w:color w:val="auto"/>
        </w:rPr>
        <w:t>If this Agreement is terminated by the Representatives pursuant to Section 6, Section 11 or Section 12, or if the sale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Underwriters of the Offered Securities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Securities, including, but not limited to, reasonable fees and disbursements of counsel, printing expenses, travel expenses, postage, facsimile and telephone charges, provided, however, that in the event any such termination is effected after the First Closing Date but prior to the Option Closing Date with respect to the purchase of any Option ADSs, the Company shall only reimburse the Underwriters for all of their out-of-pocket expenses, including the reasonable fees and disbursements of counsel for the Underwriters, reasonably incurred after the First Closing Date in connection with the proposed purchase of any such Option ADSs. For the avoidance of doubt, it is understood that the Company will not pay or reimburse any costs, fees or expenses incurred by any Underwriter that defaults on its obligations to purchase the Offered Securities.</w:t>
      </w:r>
    </w:p>
    <w:p>
      <w:pPr>
        <w:spacing w:after="0" w:line="14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5"/>
          <w:szCs w:val="15"/>
          <w:b w:val="1"/>
          <w:bCs w:val="1"/>
          <w:color w:val="auto"/>
        </w:rPr>
        <w:t>Section 8.</w:t>
      </w:r>
      <w:r>
        <w:rPr>
          <w:sz w:val="20"/>
          <w:szCs w:val="20"/>
          <w:color w:val="auto"/>
        </w:rPr>
        <w:tab/>
      </w:r>
      <w:r>
        <w:rPr>
          <w:rFonts w:ascii="Times New Roman" w:cs="Times New Roman" w:eastAsia="Times New Roman" w:hAnsi="Times New Roman"/>
          <w:sz w:val="14"/>
          <w:szCs w:val="14"/>
          <w:b w:val="1"/>
          <w:bCs w:val="1"/>
          <w:color w:val="auto"/>
        </w:rPr>
        <w:t xml:space="preserve">Effectiveness of this Agreement. </w:t>
      </w:r>
      <w:r>
        <w:rPr>
          <w:rFonts w:ascii="Times New Roman" w:cs="Times New Roman" w:eastAsia="Times New Roman" w:hAnsi="Times New Roman"/>
          <w:sz w:val="14"/>
          <w:szCs w:val="14"/>
          <w:color w:val="auto"/>
        </w:rPr>
        <w:t>This Agreement shall become effective upon the execution and delivery hereof by the parties hereto.</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8" w:name="page39"/>
    <w:bookmarkEnd w:id="38"/>
    <w:p>
      <w:pPr>
        <w:spacing w:after="0"/>
        <w:tabs>
          <w:tab w:leader="none" w:pos="960" w:val="left"/>
        </w:tabs>
        <w:rPr>
          <w:sz w:val="20"/>
          <w:szCs w:val="20"/>
          <w:color w:val="auto"/>
        </w:rPr>
      </w:pPr>
      <w:r>
        <w:rPr>
          <w:rFonts w:ascii="Times New Roman" w:cs="Times New Roman" w:eastAsia="Times New Roman" w:hAnsi="Times New Roman"/>
          <w:sz w:val="15"/>
          <w:szCs w:val="15"/>
          <w:b w:val="1"/>
          <w:bCs w:val="1"/>
          <w:color w:val="auto"/>
        </w:rPr>
        <w:t>Section 9.</w:t>
      </w:r>
      <w:r>
        <w:rPr>
          <w:sz w:val="20"/>
          <w:szCs w:val="20"/>
          <w:color w:val="auto"/>
        </w:rPr>
        <w:tab/>
      </w:r>
      <w:r>
        <w:rPr>
          <w:rFonts w:ascii="Times New Roman" w:cs="Times New Roman" w:eastAsia="Times New Roman" w:hAnsi="Times New Roman"/>
          <w:sz w:val="14"/>
          <w:szCs w:val="14"/>
          <w:b w:val="1"/>
          <w:bCs w:val="1"/>
          <w:color w:val="auto"/>
        </w:rPr>
        <w:t>Indemnification.</w:t>
      </w:r>
    </w:p>
    <w:p>
      <w:pPr>
        <w:spacing w:after="0" w:line="192" w:lineRule="exact"/>
        <w:rPr>
          <w:sz w:val="20"/>
          <w:szCs w:val="20"/>
          <w:color w:val="auto"/>
        </w:rPr>
      </w:pPr>
    </w:p>
    <w:p>
      <w:pPr>
        <w:jc w:val="both"/>
        <w:ind w:firstLine="530"/>
        <w:spacing w:after="0" w:line="251" w:lineRule="auto"/>
        <w:tabs>
          <w:tab w:leader="none" w:pos="1101" w:val="left"/>
        </w:tabs>
        <w:numPr>
          <w:ilvl w:val="0"/>
          <w:numId w:val="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Indemnification of the Underwriters</w:t>
      </w:r>
      <w:r>
        <w:rPr>
          <w:rFonts w:ascii="Times New Roman" w:cs="Times New Roman" w:eastAsia="Times New Roman" w:hAnsi="Times New Roman"/>
          <w:sz w:val="15"/>
          <w:szCs w:val="15"/>
          <w:color w:val="auto"/>
        </w:rPr>
        <w:t xml:space="preserve">. The Company agrees to indemnify and hold harmless each Underwriter, 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(A) (i) any untrue statement or alleged untrue statement of a material fact contained in the Registration Statement or the F-6 Registration Statement, or any amendment to the Registration Statement or the F-6 Registration Statement, or the omission or alleged omission to state therein a material fact required to be stated in the Registration Statement or the F-6 Registration Statement or necessary to make the statements in the Registration Statement or the F-6 Registration Statement not misleading;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(iii) any untrue statement or alleged untrue statement of a material fact contained in the French Public Disclosure, or the omission or alleged omission to state therein a material fact required to be stated in the French Public Disclosure or necessary to make the statements in the French Public Disclosure not misleading; or (iv) any act or failure to act or any alleged act or failure to act by any Underwriter in connection with, or relating in any manner to, the Offered Securities or the offering contemplated hereby, and which is included as part of or referred to in any loss, claim, damage, liability or action arising out of or based upon any matter covered by clause (i), (ii) or (iii) above; and to reimburse each Underwriter and each such affiliate, director, officer, employee, agent and controlling person for any and all reasonable expenses (including the reasonable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the F-6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173" w:lineRule="exact"/>
        <w:rPr>
          <w:rFonts w:ascii="Times New Roman" w:cs="Times New Roman" w:eastAsia="Times New Roman" w:hAnsi="Times New Roman"/>
          <w:sz w:val="15"/>
          <w:szCs w:val="15"/>
          <w:b w:val="1"/>
          <w:bCs w:val="1"/>
          <w:color w:val="auto"/>
        </w:rPr>
      </w:pPr>
    </w:p>
    <w:p>
      <w:pPr>
        <w:jc w:val="both"/>
        <w:ind w:firstLine="530"/>
        <w:spacing w:after="0" w:line="251" w:lineRule="auto"/>
        <w:tabs>
          <w:tab w:leader="none" w:pos="1110" w:val="left"/>
        </w:tabs>
        <w:numPr>
          <w:ilvl w:val="0"/>
          <w:numId w:val="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Indemnification of the Company and its Board Members and Officers</w:t>
      </w:r>
      <w:r>
        <w:rPr>
          <w:rFonts w:ascii="Times New Roman" w:cs="Times New Roman" w:eastAsia="Times New Roman" w:hAnsi="Times New Roman"/>
          <w:sz w:val="15"/>
          <w:szCs w:val="15"/>
          <w:color w:val="auto"/>
        </w:rPr>
        <w:t>. Each Underwriter agrees, severally and not jointly, to indemnify and hold harmless the Company, each of its supervisory board members, executive board members, each of its officers who signed the Registration Statement and the F-6 Registration Statement and each person, if any, who controls the Company within the meaning of the Securities Act or the Exchange Act, against any loss, claim, damage, liability or expense, as incurred, to which the Company, or any such board member,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the F-6 Registration Statement, or any amendment to the Registration Statement or the F-6 Registration Statement, or the omission or alleged omission to state therein a material fact required to be stated in the Registration Statement or the F-6 Registration Statement or necessary to make the statements in the Registration Statement or the F-6 Registration Statement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the F-6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the F-6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the first sentence of the third paragraph under the caption “Underwriting,” the seventh paragraph under the caption “Underwriting,” the first paragraph and table under the caption “Underwriting—Commissions and Expenses,” the paragraphs under the caption “Underwriting—Stabilization,” and the first sentence under the caption “Underwriting—Electronic Distribution” in the Preliminary Prospectus Supplement and the Final Prospectus Supplement. The indemnity agreement set forth in this Section 9(b) shall be in addition to any liabilities that each Underwriter may otherwise have.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9" w:name="page40"/>
    <w:bookmarkEnd w:id="39"/>
    <w:p>
      <w:pPr>
        <w:jc w:val="both"/>
        <w:ind w:firstLine="530"/>
        <w:spacing w:after="0" w:line="252" w:lineRule="auto"/>
        <w:tabs>
          <w:tab w:leader="none" w:pos="1127" w:val="left"/>
        </w:tabs>
        <w:numPr>
          <w:ilvl w:val="0"/>
          <w:numId w:val="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Notifications and Other Indemnification Procedures</w:t>
      </w:r>
      <w:r>
        <w:rPr>
          <w:rFonts w:ascii="Times New Roman" w:cs="Times New Roman" w:eastAsia="Times New Roman" w:hAnsi="Times New Roman"/>
          <w:sz w:val="15"/>
          <w:szCs w:val="15"/>
          <w:color w:val="auto"/>
        </w:rPr>
        <w:t xml:space="preserve">. Promptly after receipt by an indemnified party under this Section 9 of notice of the 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reasonable fees and expenses of counsel shall be at the expense of the indemnifying party and shall be paid as they are incurred upon receipt from the indemnified party of a written request for payment thereof accompanied by a written statement with reasonable supporting detail of such fees and expenses.</w:t>
      </w:r>
    </w:p>
    <w:p>
      <w:pPr>
        <w:spacing w:after="0" w:line="158" w:lineRule="exact"/>
        <w:rPr>
          <w:rFonts w:ascii="Times New Roman" w:cs="Times New Roman" w:eastAsia="Times New Roman" w:hAnsi="Times New Roman"/>
          <w:sz w:val="15"/>
          <w:szCs w:val="15"/>
          <w:b w:val="1"/>
          <w:bCs w:val="1"/>
          <w:color w:val="auto"/>
        </w:rPr>
      </w:pPr>
    </w:p>
    <w:p>
      <w:pPr>
        <w:jc w:val="both"/>
        <w:ind w:firstLine="530"/>
        <w:spacing w:after="0" w:line="253" w:lineRule="auto"/>
        <w:tabs>
          <w:tab w:leader="none" w:pos="1121" w:val="left"/>
        </w:tabs>
        <w:numPr>
          <w:ilvl w:val="0"/>
          <w:numId w:val="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Settlements</w:t>
      </w:r>
      <w:r>
        <w:rPr>
          <w:rFonts w:ascii="Times New Roman" w:cs="Times New Roman" w:eastAsia="Times New Roman" w:hAnsi="Times New Roman"/>
          <w:sz w:val="15"/>
          <w:szCs w:val="15"/>
          <w:color w:val="auto"/>
        </w:rPr>
        <w:t>. The indemnifying party under this Section 9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reasonable fees and expenses of counsel as contemplated by Section 9(c) hereof, the indemnifying party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Section 10. Contribution. </w:t>
      </w:r>
      <w:r>
        <w:rPr>
          <w:rFonts w:ascii="Times New Roman" w:cs="Times New Roman" w:eastAsia="Times New Roman" w:hAnsi="Times New Roman"/>
          <w:sz w:val="15"/>
          <w:szCs w:val="15"/>
          <w:color w:val="auto"/>
        </w:rPr>
        <w:t>If the indemnification provided for in Section 9 is for any reason held to be unavailable to or otherwise insufficient to hold harmless an indemnified party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Securities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Securities pursuant to this Agreement shall be deemed to be in the same respective proportions as the total proceeds from the offering of the Offered Securities pursuant to this Agreement (before deducting expenses) received by the Company, and the total underwriting discounts and commissions received by the Underwriters, in each case as set forth on the front cover page of the Prospectus, bear to the aggregate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62"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15"/>
          <w:szCs w:val="15"/>
          <w:color w:val="auto"/>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no additional notice shall be required with respect to any action for which notice has been given under Section 9(c) for purposes of indemnification.</w:t>
      </w:r>
    </w:p>
    <w:p>
      <w:pPr>
        <w:spacing w:after="0" w:line="153" w:lineRule="exact"/>
        <w:rPr>
          <w:sz w:val="20"/>
          <w:szCs w:val="20"/>
          <w:color w:val="auto"/>
        </w:rPr>
      </w:pPr>
    </w:p>
    <w:p>
      <w:pPr>
        <w:jc w:val="both"/>
        <w:ind w:right="20" w:firstLine="540"/>
        <w:spacing w:after="0" w:line="280" w:lineRule="auto"/>
        <w:rPr>
          <w:sz w:val="20"/>
          <w:szCs w:val="20"/>
          <w:color w:val="auto"/>
        </w:rPr>
      </w:pPr>
      <w:r>
        <w:rPr>
          <w:rFonts w:ascii="Times New Roman" w:cs="Times New Roman" w:eastAsia="Times New Roman" w:hAnsi="Times New Roman"/>
          <w:sz w:val="15"/>
          <w:szCs w:val="15"/>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38"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15"/>
          <w:szCs w:val="15"/>
          <w:color w:val="auto"/>
        </w:rPr>
        <w:t xml:space="preserve">Notwithstanding the provisions of this Section 10,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member of the supervisory board of the Company, each member of the executive board of the Company, each officer of the Company who signed the Registration Statement or the F-6 Registration Statement, and each person, if any, who controls the Company within the meaning of the Securities Act and the Exchange Act shall have the same rights to contribution as the Company.</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Section 11. </w:t>
      </w:r>
      <w:r>
        <w:rPr>
          <w:rFonts w:ascii="Times New Roman" w:cs="Times New Roman" w:eastAsia="Times New Roman" w:hAnsi="Times New Roman"/>
          <w:sz w:val="15"/>
          <w:szCs w:val="15"/>
          <w:u w:val="single" w:color="auto"/>
          <w:color w:val="auto"/>
        </w:rPr>
        <w:t>Default of One or More of the Several Underwriters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on the First Closing Date or the Option Closing Date any one or more of the several Underwriters shall fail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refuse to purchase Offered Securities that it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Representatives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Firm Securities set forth opposite their respective names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bears to the aggregate number of Firm Securities set forth opposite the names of all such non-defaulting Underwriters, or in such other proportions as may be specified by the applicable Representatives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applicable Representatives and the Company for the purchase of such Offered Securities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applicable Representatives or the Company shall have the right to postpone the First Closing Date or the Option Closing Date, as the case may be, but in no event for longer than seven days in order that the required changes, if any, to the Registration Statement and the Prospectus or any other documents or arrangements may be effected.</w:t>
      </w:r>
    </w:p>
    <w:p>
      <w:pPr>
        <w:spacing w:after="0" w:line="158" w:lineRule="exact"/>
        <w:rPr>
          <w:sz w:val="20"/>
          <w:szCs w:val="20"/>
          <w:color w:val="auto"/>
        </w:rPr>
      </w:pPr>
    </w:p>
    <w:p>
      <w:pPr>
        <w:jc w:val="both"/>
        <w:ind w:right="20" w:firstLine="540"/>
        <w:spacing w:after="0" w:line="285" w:lineRule="auto"/>
        <w:rPr>
          <w:sz w:val="20"/>
          <w:szCs w:val="20"/>
          <w:color w:val="auto"/>
        </w:rPr>
      </w:pPr>
      <w:r>
        <w:rPr>
          <w:rFonts w:ascii="Times New Roman" w:cs="Times New Roman" w:eastAsia="Times New Roman" w:hAnsi="Times New Roman"/>
          <w:sz w:val="15"/>
          <w:szCs w:val="15"/>
          <w:color w:val="auto"/>
        </w:rPr>
        <w:t>As used in this Agreement, the term “</w:t>
      </w:r>
      <w:r>
        <w:rPr>
          <w:rFonts w:ascii="Times New Roman" w:cs="Times New Roman" w:eastAsia="Times New Roman" w:hAnsi="Times New Roman"/>
          <w:sz w:val="15"/>
          <w:szCs w:val="15"/>
          <w:b w:val="1"/>
          <w:bCs w:val="1"/>
          <w:color w:val="auto"/>
        </w:rPr>
        <w:t>Underwriter</w:t>
      </w:r>
      <w:r>
        <w:rPr>
          <w:rFonts w:ascii="Times New Roman" w:cs="Times New Roman" w:eastAsia="Times New Roman" w:hAnsi="Times New Roman"/>
          <w:sz w:val="15"/>
          <w:szCs w:val="15"/>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b w:val="1"/>
          <w:bCs w:val="1"/>
          <w:color w:val="auto"/>
        </w:rPr>
        <w:t>Section 12. Termination of this Agreement</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Prior to the purchase of the Firm Securities by the Underwriters on the First Closing Date, this Agreement may be terminated by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Representatives by notice given to the Company if at any time: (i) trading or quotation in any of the Company’s securities shall have been suspended or limited by the Commission or by the Nasdaq, the AMF and/or Euronext or trading in securities generally on either the Nasdaq, the New York Stock Exchange or Euronext shall have been suspended or limited, or minimum or maximum prices shall have been generally established on any of such stock exchanges; (ii) a general banking moratorium shall have been declared by any of United States federal, New York or French authorities; (iii) there shall have occurred any outbreak or escalation of national or international hostilities or any crisis or calamity, or any change in the United States, French or international financial markets, or any substantial change or development involving a prospective substantial change in the United States’, France’s or international political, financial or economic conditions, as in the judgment of the Representatives is material and adverse and makes it impracticable to market the Offered Securities in the manner and on the terms described in the Time of Sale Prospectus, the Prospectus or the Offering Press Releases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the provisions of Section 9 and Section 10 shall at all times be effective and shall survive such termination.</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Section 13. No Advisory or Fiduciary Relationship. </w:t>
      </w:r>
      <w:r>
        <w:rPr>
          <w:rFonts w:ascii="Times New Roman" w:cs="Times New Roman" w:eastAsia="Times New Roman" w:hAnsi="Times New Roman"/>
          <w:sz w:val="15"/>
          <w:szCs w:val="15"/>
          <w:color w:val="auto"/>
        </w:rPr>
        <w:t>The Company acknowledges and agrees that (a) the purchase and sale of the Offered Securities pursuant to this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shareholders, creditors or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42" w:name="page43"/>
    <w:bookmarkEnd w:id="42"/>
    <w:p>
      <w:pPr>
        <w:jc w:val="both"/>
        <w:spacing w:after="0" w:line="262" w:lineRule="auto"/>
        <w:rPr>
          <w:sz w:val="20"/>
          <w:szCs w:val="20"/>
          <w:color w:val="auto"/>
        </w:rPr>
      </w:pPr>
      <w:r>
        <w:rPr>
          <w:rFonts w:ascii="Times New Roman" w:cs="Times New Roman" w:eastAsia="Times New Roman" w:hAnsi="Times New Roman"/>
          <w:sz w:val="15"/>
          <w:szCs w:val="15"/>
          <w:b w:val="1"/>
          <w:bCs w:val="1"/>
          <w:color w:val="auto"/>
        </w:rPr>
        <w:t>Section 14. Representations and Indemnities to Survive Delivery</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respective indemnities, agreements, representations, warranties and other statements of the Company, of its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Securities sold hereunder and any termination of this Agreement.</w:t>
      </w:r>
    </w:p>
    <w:p>
      <w:pPr>
        <w:spacing w:after="0" w:line="14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5"/>
          <w:szCs w:val="15"/>
          <w:b w:val="1"/>
          <w:bCs w:val="1"/>
          <w:color w:val="auto"/>
        </w:rPr>
        <w:t>Section 15.</w:t>
      </w:r>
      <w:r>
        <w:rPr>
          <w:sz w:val="20"/>
          <w:szCs w:val="20"/>
          <w:color w:val="auto"/>
        </w:rPr>
        <w:tab/>
      </w:r>
      <w:r>
        <w:rPr>
          <w:rFonts w:ascii="Times New Roman" w:cs="Times New Roman" w:eastAsia="Times New Roman" w:hAnsi="Times New Roman"/>
          <w:sz w:val="15"/>
          <w:szCs w:val="15"/>
          <w:b w:val="1"/>
          <w:bCs w:val="1"/>
          <w:color w:val="auto"/>
        </w:rPr>
        <w:t xml:space="preserve">Notices. </w:t>
      </w:r>
      <w:r>
        <w:rPr>
          <w:rFonts w:ascii="Times New Roman" w:cs="Times New Roman" w:eastAsia="Times New Roman" w:hAnsi="Times New Roman"/>
          <w:sz w:val="15"/>
          <w:szCs w:val="15"/>
          <w:color w:val="auto"/>
        </w:rPr>
        <w:t>All communications hereunder shall be in writing and shall be mailed, emailed, hand delivered or telecopied and confirmed to the parties hereto as follows:</w:t>
      </w:r>
    </w:p>
    <w:p>
      <w:pPr>
        <w:sectPr>
          <w:pgSz w:w="11900" w:h="16838" w:orient="portrait"/>
          <w:cols w:equalWidth="0" w:num="1">
            <w:col w:w="11260"/>
          </w:cols>
          <w:pgMar w:left="320" w:top="301" w:right="319" w:bottom="1440" w:gutter="0" w:footer="0" w:header="0"/>
        </w:sectPr>
      </w:pP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If to the Representatives: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Jefferies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520 Madison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Facsimile: (646) 619-4437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Attention: General Counsel</w:t>
      </w:r>
    </w:p>
    <w:p>
      <w:pPr>
        <w:spacing w:after="0" w:line="174" w:lineRule="exact"/>
        <w:rPr>
          <w:sz w:val="20"/>
          <w:szCs w:val="20"/>
          <w:color w:val="auto"/>
        </w:rPr>
      </w:pPr>
    </w:p>
    <w:p>
      <w:pPr>
        <w:sectPr>
          <w:pgSz w:w="11900" w:h="16838" w:orient="portrait"/>
          <w:cols w:equalWidth="0" w:num="2">
            <w:col w:w="2040" w:space="660"/>
            <w:col w:w="8560"/>
          </w:cols>
          <w:pgMar w:left="320" w:top="301" w:right="31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15"/>
          <w:szCs w:val="15"/>
          <w:color w:val="auto"/>
        </w:rPr>
        <w:t>Jefferies GmbH</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Bockenheimer Landstrasse 24</w:t>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60323 Frankfurt am Main, Germany</w:t>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Attention: IB LN Legal</w:t>
      </w:r>
    </w:p>
    <w:p>
      <w:pPr>
        <w:spacing w:after="0" w:line="17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TD Securities (USA) LLC</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1 Vanderbilt Avenue</w:t>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New York, NY 10017</w:t>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Attention: Head of Equity Capital Markets,</w:t>
      </w:r>
    </w:p>
    <w:p>
      <w:pPr>
        <w:spacing w:after="0" w:line="1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with a copy to CIBLegal@tdsecurities.com</w:t>
      </w:r>
    </w:p>
    <w:p>
      <w:pPr>
        <w:spacing w:after="0" w:line="18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Stifel, Nicolaus &amp; Company, Incorporated</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787 7th Avenue, 11th Floor</w:t>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17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Stifel Europe Securities SAS</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26, avenue des Champs-Élysées</w:t>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Paris 75008, France</w:t>
      </w:r>
    </w:p>
    <w:p>
      <w:pPr>
        <w:sectPr>
          <w:pgSz w:w="11900" w:h="16838" w:orient="portrait"/>
          <w:cols w:equalWidth="0" w:num="1">
            <w:col w:w="11260"/>
          </w:cols>
          <w:pgMar w:left="320" w:top="301" w:right="319" w:bottom="1440" w:gutter="0" w:footer="0" w:header="0"/>
          <w:type w:val="continuous"/>
        </w:sectPr>
      </w:pP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with copies to: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Cooley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55 Hudson Yards</w:t>
      </w:r>
    </w:p>
    <w:p>
      <w:pPr>
        <w:spacing w:after="0" w:line="186" w:lineRule="exact"/>
        <w:rPr>
          <w:sz w:val="20"/>
          <w:szCs w:val="20"/>
          <w:color w:val="auto"/>
        </w:rPr>
      </w:pPr>
    </w:p>
    <w:p>
      <w:pPr>
        <w:sectPr>
          <w:pgSz w:w="11900" w:h="16838" w:orient="portrait"/>
          <w:cols w:equalWidth="0" w:num="2">
            <w:col w:w="1980" w:space="720"/>
            <w:col w:w="8560"/>
          </w:cols>
          <w:pgMar w:left="320" w:top="301" w:right="31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15"/>
          <w:szCs w:val="15"/>
          <w:color w:val="auto"/>
        </w:rPr>
        <w:t>New York, NY 10001-2157</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Facsimile: (212) 479 6000</w:t>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Attention: Courtney Thorne and Evan Leitner</w:t>
      </w:r>
    </w:p>
    <w:p>
      <w:pPr>
        <w:sectPr>
          <w:pgSz w:w="11900" w:h="16838" w:orient="portrait"/>
          <w:cols w:equalWidth="0" w:num="1">
            <w:col w:w="11260"/>
          </w:cols>
          <w:pgMar w:left="320" w:top="301" w:right="319" w:bottom="1440" w:gutter="0" w:footer="0" w:header="0"/>
          <w:type w:val="continuous"/>
        </w:sect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type w:val="continuous"/>
        </w:sectPr>
      </w:pPr>
    </w:p>
    <w:bookmarkStart w:id="43" w:name="page44"/>
    <w:bookmarkEnd w:id="43"/>
    <w:p>
      <w:pPr>
        <w:ind w:left="2700"/>
        <w:spacing w:after="0"/>
        <w:rPr>
          <w:sz w:val="20"/>
          <w:szCs w:val="20"/>
          <w:color w:val="auto"/>
        </w:rPr>
      </w:pPr>
      <w:r>
        <w:rPr>
          <w:rFonts w:ascii="Times New Roman" w:cs="Times New Roman" w:eastAsia="Times New Roman" w:hAnsi="Times New Roman"/>
          <w:sz w:val="14"/>
          <w:szCs w:val="14"/>
          <w:color w:val="auto"/>
        </w:rPr>
        <w:t>Gide Loyrette Nouel A.A.R.P.I.</w:t>
      </w:r>
    </w:p>
    <w:p>
      <w:pPr>
        <w:spacing w:after="0" w:line="3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15, rue de Laborde</w:t>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75008 Paris, France</w:t>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Facsimile: +33 1 40 75 37 68</w:t>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Attention: Arnaud Duhamel</w:t>
      </w:r>
    </w:p>
    <w:p>
      <w:pPr>
        <w:sectPr>
          <w:pgSz w:w="11900" w:h="16838" w:orient="portrait"/>
          <w:cols w:equalWidth="0" w:num="1">
            <w:col w:w="11260"/>
          </w:cols>
          <w:pgMar w:left="320" w:top="305" w:right="319" w:bottom="1440" w:gutter="0" w:footer="0" w:header="0"/>
        </w:sectPr>
      </w:pP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Nanobiotix S.A.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60, rue de Wattignies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75012 Paris, France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Facsimile: +33 1 40 26 04 44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Attention: Laurent Levy</w:t>
      </w:r>
    </w:p>
    <w:p>
      <w:pPr>
        <w:spacing w:after="0" w:line="174" w:lineRule="exact"/>
        <w:rPr>
          <w:sz w:val="20"/>
          <w:szCs w:val="20"/>
          <w:color w:val="auto"/>
        </w:rPr>
      </w:pPr>
    </w:p>
    <w:p>
      <w:pPr>
        <w:sectPr>
          <w:pgSz w:w="11900" w:h="16838" w:orient="portrait"/>
          <w:cols w:equalWidth="0" w:num="2">
            <w:col w:w="1980" w:space="720"/>
            <w:col w:w="8560"/>
          </w:cols>
          <w:pgMar w:left="320" w:top="305" w:right="31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Jones Day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250 Vesey Street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 10281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Facsimile: (212) 755-7306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Attention: Peter Devlin</w:t>
      </w:r>
    </w:p>
    <w:p>
      <w:pPr>
        <w:spacing w:after="0" w:line="174" w:lineRule="exact"/>
        <w:rPr>
          <w:sz w:val="20"/>
          <w:szCs w:val="20"/>
          <w:color w:val="auto"/>
        </w:rPr>
      </w:pPr>
    </w:p>
    <w:p>
      <w:pPr>
        <w:sectPr>
          <w:pgSz w:w="11900" w:h="16838" w:orient="portrait"/>
          <w:cols w:equalWidth="0" w:num="2">
            <w:col w:w="1980" w:space="720"/>
            <w:col w:w="8560"/>
          </w:cols>
          <w:pgMar w:left="320" w:top="305" w:right="31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15"/>
          <w:szCs w:val="15"/>
          <w:color w:val="auto"/>
        </w:rPr>
        <w:t>Jones Day</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2, rue Saint-Florentin</w:t>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75001 Paris, France</w:t>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Facsimile: +33 1 56 59 39 38</w:t>
      </w:r>
    </w:p>
    <w:p>
      <w:pPr>
        <w:spacing w:after="0" w:line="1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color w:val="auto"/>
        </w:rPr>
        <w:t>Attention: Renaud Bonnet</w:t>
      </w:r>
    </w:p>
    <w:p>
      <w:pPr>
        <w:sectPr>
          <w:pgSz w:w="11900" w:h="16838" w:orient="portrait"/>
          <w:cols w:equalWidth="0" w:num="1">
            <w:col w:w="11260"/>
          </w:cols>
          <w:pgMar w:left="320" w:top="305" w:right="319" w:bottom="1440" w:gutter="0" w:footer="0" w:header="0"/>
          <w:type w:val="continuous"/>
        </w:sectPr>
      </w:pP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Any party hereto may change the address for receipt of communications by giving written notice to the others.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b w:val="1"/>
          <w:bCs w:val="1"/>
          <w:color w:val="auto"/>
        </w:rPr>
        <w:t>Section 16. Successors</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This Agreement will inure to the benefit of and be binding upon the parties hereto, including any substitute Underwriters pursuant to Section 11 hereof,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the benefit of the affiliates, directors, officers, employees, agents and controlling persons referred to in Section 9 and Section 10, and in each case their respective successors, and no other person will have any right or obligation hereunder. The term “successors” shall not include any purchaser of the Offered Securities as such from any of the Underwriters merely by reason of such purchase.</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b w:val="1"/>
          <w:bCs w:val="1"/>
          <w:color w:val="auto"/>
        </w:rPr>
        <w:t>Section 17. Partial Unenforceability</w:t>
      </w:r>
      <w:r>
        <w:rPr>
          <w:rFonts w:ascii="Times New Roman" w:cs="Times New Roman" w:eastAsia="Times New Roman" w:hAnsi="Times New Roman"/>
          <w:sz w:val="15"/>
          <w:szCs w:val="15"/>
          <w:color w:val="auto"/>
        </w:rPr>
        <w:t>. The invalidity or unenforceability of any section, paragraph or provision of this Agreement shall not affect the validity or enforceability of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4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5"/>
          <w:szCs w:val="15"/>
          <w:b w:val="1"/>
          <w:bCs w:val="1"/>
          <w:color w:val="auto"/>
        </w:rPr>
        <w:t>Section 18.</w:t>
      </w:r>
      <w:r>
        <w:rPr>
          <w:sz w:val="20"/>
          <w:szCs w:val="20"/>
          <w:color w:val="auto"/>
        </w:rPr>
        <w:tab/>
      </w:r>
      <w:r>
        <w:rPr>
          <w:rFonts w:ascii="Times New Roman" w:cs="Times New Roman" w:eastAsia="Times New Roman" w:hAnsi="Times New Roman"/>
          <w:sz w:val="14"/>
          <w:szCs w:val="14"/>
          <w:b w:val="1"/>
          <w:bCs w:val="1"/>
          <w:color w:val="auto"/>
        </w:rPr>
        <w:t>Recognition of the U.S. Special Resolution Regimes</w:t>
      </w:r>
      <w:r>
        <w:rPr>
          <w:rFonts w:ascii="Times New Roman" w:cs="Times New Roman" w:eastAsia="Times New Roman" w:hAnsi="Times New Roman"/>
          <w:sz w:val="14"/>
          <w:szCs w:val="14"/>
          <w:color w:val="auto"/>
        </w:rPr>
        <w:t>.</w:t>
      </w:r>
    </w:p>
    <w:p>
      <w:pPr>
        <w:spacing w:after="0" w:line="192" w:lineRule="exact"/>
        <w:rPr>
          <w:sz w:val="20"/>
          <w:szCs w:val="20"/>
          <w:color w:val="auto"/>
        </w:rPr>
      </w:pPr>
    </w:p>
    <w:p>
      <w:pPr>
        <w:jc w:val="both"/>
        <w:ind w:firstLine="530"/>
        <w:spacing w:after="0" w:line="265" w:lineRule="auto"/>
        <w:tabs>
          <w:tab w:leader="none" w:pos="1101" w:val="left"/>
        </w:tabs>
        <w:numPr>
          <w:ilvl w:val="0"/>
          <w:numId w:val="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type w:val="continuous"/>
        </w:sectPr>
      </w:pPr>
    </w:p>
    <w:bookmarkStart w:id="44" w:name="page45"/>
    <w:bookmarkEnd w:id="44"/>
    <w:p>
      <w:pPr>
        <w:jc w:val="both"/>
        <w:ind w:firstLine="530"/>
        <w:spacing w:after="0" w:line="265" w:lineRule="auto"/>
        <w:tabs>
          <w:tab w:leader="none" w:pos="1096" w:val="left"/>
        </w:tabs>
        <w:numPr>
          <w:ilvl w:val="0"/>
          <w:numId w:val="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For purposes of this Agreement, (A) “</w:t>
      </w:r>
      <w:r>
        <w:rPr>
          <w:rFonts w:ascii="Times New Roman" w:cs="Times New Roman" w:eastAsia="Times New Roman" w:hAnsi="Times New Roman"/>
          <w:sz w:val="15"/>
          <w:szCs w:val="15"/>
          <w:b w:val="1"/>
          <w:bCs w:val="1"/>
          <w:color w:val="auto"/>
        </w:rPr>
        <w:t>BHC Act Affiliate</w:t>
      </w:r>
      <w:r>
        <w:rPr>
          <w:rFonts w:ascii="Times New Roman" w:cs="Times New Roman" w:eastAsia="Times New Roman" w:hAnsi="Times New Roman"/>
          <w:sz w:val="15"/>
          <w:szCs w:val="15"/>
          <w:color w:val="auto"/>
        </w:rPr>
        <w:t>” has the meaning assigned to the term “affiliate” in, and shall be interpreted in accordance with, 12 U.S.C. § 1841(k); (B) “</w:t>
      </w:r>
      <w:r>
        <w:rPr>
          <w:rFonts w:ascii="Times New Roman" w:cs="Times New Roman" w:eastAsia="Times New Roman" w:hAnsi="Times New Roman"/>
          <w:sz w:val="15"/>
          <w:szCs w:val="15"/>
          <w:b w:val="1"/>
          <w:bCs w:val="1"/>
          <w:color w:val="auto"/>
        </w:rPr>
        <w:t>Covered Entity</w:t>
      </w:r>
      <w:r>
        <w:rPr>
          <w:rFonts w:ascii="Times New Roman" w:cs="Times New Roman" w:eastAsia="Times New Roman" w:hAnsi="Times New Roman"/>
          <w:sz w:val="15"/>
          <w:szCs w:val="15"/>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15"/>
          <w:szCs w:val="15"/>
          <w:b w:val="1"/>
          <w:bCs w:val="1"/>
          <w:color w:val="auto"/>
        </w:rPr>
        <w:t>Default Right</w:t>
      </w:r>
      <w:r>
        <w:rPr>
          <w:rFonts w:ascii="Times New Roman" w:cs="Times New Roman" w:eastAsia="Times New Roman" w:hAnsi="Times New Roman"/>
          <w:sz w:val="15"/>
          <w:szCs w:val="15"/>
          <w:color w:val="auto"/>
        </w:rPr>
        <w:t>” has the meaning assigned to that term in, and shall be interpreted in accordance with, 12 C.F.R. §§ 252.81, 47.2 or 382.1, as applicable; and (D) “</w:t>
      </w:r>
      <w:r>
        <w:rPr>
          <w:rFonts w:ascii="Times New Roman" w:cs="Times New Roman" w:eastAsia="Times New Roman" w:hAnsi="Times New Roman"/>
          <w:sz w:val="15"/>
          <w:szCs w:val="15"/>
          <w:b w:val="1"/>
          <w:bCs w:val="1"/>
          <w:color w:val="auto"/>
        </w:rPr>
        <w:t>U.S. Special Resolution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Regime</w:t>
      </w:r>
      <w:r>
        <w:rPr>
          <w:rFonts w:ascii="Times New Roman" w:cs="Times New Roman" w:eastAsia="Times New Roman" w:hAnsi="Times New Roman"/>
          <w:sz w:val="15"/>
          <w:szCs w:val="15"/>
          <w:color w:val="auto"/>
        </w:rPr>
        <w:t>” means each of (i) the Federal Deposit Insurance Act and the regulations promulgated thereunder and (ii) Title II of the Dodd-Frank Wall Street Reform and Consumer Protection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Act and the regulations promulgated thereunder.</w:t>
      </w:r>
    </w:p>
    <w:p>
      <w:pPr>
        <w:spacing w:after="0" w:line="1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5"/>
          <w:szCs w:val="15"/>
          <w:b w:val="1"/>
          <w:bCs w:val="1"/>
          <w:color w:val="auto"/>
        </w:rPr>
        <w:t>Section 19. Governing Law Provisions; Currency Provisions</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This Agreement shall be governed by and construed in accordance with the internal laws of the State of New York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applicable to agreements made and to be performed in such state. Any legal suit, action or proceeding arising out of or based upon this Agreement or the transactions contemplated hereby (“</w:t>
      </w:r>
      <w:r>
        <w:rPr>
          <w:rFonts w:ascii="Times New Roman" w:cs="Times New Roman" w:eastAsia="Times New Roman" w:hAnsi="Times New Roman"/>
          <w:sz w:val="15"/>
          <w:szCs w:val="15"/>
          <w:b w:val="1"/>
          <w:bCs w:val="1"/>
          <w:color w:val="auto"/>
        </w:rPr>
        <w:t>Related Proceedings</w:t>
      </w:r>
      <w:r>
        <w:rPr>
          <w:rFonts w:ascii="Times New Roman" w:cs="Times New Roman" w:eastAsia="Times New Roman" w:hAnsi="Times New Roman"/>
          <w:sz w:val="15"/>
          <w:szCs w:val="15"/>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5"/>
          <w:szCs w:val="15"/>
          <w:b w:val="1"/>
          <w:bCs w:val="1"/>
          <w:color w:val="auto"/>
        </w:rPr>
        <w:t>Specified Courts</w:t>
      </w:r>
      <w:r>
        <w:rPr>
          <w:rFonts w:ascii="Times New Roman" w:cs="Times New Roman" w:eastAsia="Times New Roman" w:hAnsi="Times New Roman"/>
          <w:sz w:val="15"/>
          <w:szCs w:val="15"/>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5"/>
          <w:szCs w:val="15"/>
          <w:b w:val="1"/>
          <w:bCs w:val="1"/>
          <w:color w:val="auto"/>
        </w:rPr>
        <w:t>Related Judgment</w:t>
      </w:r>
      <w:r>
        <w:rPr>
          <w:rFonts w:ascii="Times New Roman" w:cs="Times New Roman" w:eastAsia="Times New Roman" w:hAnsi="Times New Roman"/>
          <w:sz w:val="15"/>
          <w:szCs w:val="15"/>
          <w:color w:val="auto"/>
        </w:rPr>
        <w:t>”), as to which such jurisdiction is non-exclusive) of such courts in any such suit, action or proceeding.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and each other party not located in the United States has irrevocably appointed CT Corporation, which currently maintains an office at 28 Liberty Street, 42nd Floor, New York, New York 10005, United States of America, as its agent to receive service of process or other legal summons for purposes of any such suit, action or proceeding that may be instituted in any state or federal court in the Borough of Manhattan in the City of New York, United States of America. Service of any process, summons, notice or document by mail to such party’s address set forth above shall be effective service of process for any suit, action or other proceeding brought in any such court.</w:t>
      </w:r>
    </w:p>
    <w:p>
      <w:pPr>
        <w:spacing w:after="0" w:line="157" w:lineRule="exact"/>
        <w:rPr>
          <w:sz w:val="20"/>
          <w:szCs w:val="20"/>
          <w:color w:val="auto"/>
        </w:rPr>
      </w:pPr>
    </w:p>
    <w:p>
      <w:pPr>
        <w:jc w:val="both"/>
        <w:ind w:firstLine="540"/>
        <w:spacing w:after="0" w:line="257" w:lineRule="auto"/>
        <w:rPr>
          <w:sz w:val="20"/>
          <w:szCs w:val="20"/>
          <w:color w:val="auto"/>
        </w:rPr>
      </w:pPr>
      <w:r>
        <w:rPr>
          <w:rFonts w:ascii="Times New Roman" w:cs="Times New Roman" w:eastAsia="Times New Roman" w:hAnsi="Times New Roman"/>
          <w:sz w:val="15"/>
          <w:szCs w:val="15"/>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57"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15"/>
          <w:szCs w:val="15"/>
          <w:color w:val="auto"/>
        </w:rPr>
        <w:t>The obligations of the Company pursuant to this Agreement in respect of any sum due to any Underwriter shall, notwithstanding any judgment in a currency other than United States dollars, not be discharged until the first business day, following receipt by any Underwriter of any sum adjudged to be so due in such other currency, on which such Underwriter may in accordance with normal banking procedures purchase United States dollars with such other currency. If the United States dollars so purchased are less than the sum originally due to such Underwriter in United States dollars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45" w:name="page46"/>
    <w:bookmarkEnd w:id="45"/>
    <w:p>
      <w:pPr>
        <w:jc w:val="both"/>
        <w:ind w:firstLine="540"/>
        <w:spacing w:after="0" w:line="256" w:lineRule="auto"/>
        <w:rPr>
          <w:sz w:val="20"/>
          <w:szCs w:val="20"/>
          <w:color w:val="auto"/>
        </w:rPr>
      </w:pPr>
      <w:r>
        <w:rPr>
          <w:rFonts w:ascii="Times New Roman" w:cs="Times New Roman" w:eastAsia="Times New Roman" w:hAnsi="Times New Roman"/>
          <w:sz w:val="15"/>
          <w:szCs w:val="15"/>
          <w:color w:val="auto"/>
        </w:rPr>
        <w:t>All payments made by the Company under this Agreement, if any, will be made without withholding or deduction for or on account of any present or future taxes, duties, assessments or governmental charges of whatever nature (other than taxes on net income) imposed or levied by or on behalf of any taxing authority unless the Company is or becomes required by law to withhold or deduct such taxes, duties, assessments or other governmental charges. In such event, the Company will pay such additional amounts as will result, after such withholding or deduction, in the receipt by each Underwriter of the amounts that would otherwise have been receivable in respect thereof if no withholding or deduction had been made. If any such taxes, duties, assessments or charges are required to be withheld or deducted, the Company will promptly (and in any event within the specified time limit) pay to the relevant tax authority the amount so withheld or deducted and provide the Underwriters with evidence of such payment.</w:t>
      </w:r>
    </w:p>
    <w:p>
      <w:pPr>
        <w:spacing w:after="0" w:line="15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b w:val="1"/>
          <w:bCs w:val="1"/>
          <w:color w:val="auto"/>
        </w:rPr>
        <w:t>Section 20. Affiliates</w:t>
      </w:r>
      <w:r>
        <w:rPr>
          <w:rFonts w:ascii="Times New Roman" w:cs="Times New Roman" w:eastAsia="Times New Roman" w:hAnsi="Times New Roman"/>
          <w:sz w:val="15"/>
          <w:szCs w:val="15"/>
          <w:color w:val="auto"/>
        </w:rPr>
        <w:t>. The Representatives and the Underwriters may provide their services through or in conjunction with one or more of their affiliates, and references in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to the “Representatives” and the “Underwriters” shall, save where the context otherwise requires, include any such affiliates.</w:t>
      </w:r>
    </w:p>
    <w:p>
      <w:pPr>
        <w:spacing w:after="0" w:line="131"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4"/>
          <w:szCs w:val="14"/>
          <w:b w:val="1"/>
          <w:bCs w:val="1"/>
          <w:color w:val="auto"/>
        </w:rPr>
        <w:t>Section 21. General Provisions</w:t>
      </w:r>
      <w:r>
        <w:rPr>
          <w:rFonts w:ascii="Times New Roman" w:cs="Times New Roman" w:eastAsia="Times New Roman" w:hAnsi="Times New Roman"/>
          <w:sz w:val="14"/>
          <w:szCs w:val="14"/>
          <w:color w:val="auto"/>
        </w:rPr>
        <w:t>. This Agreement constitutes the entire agreement of the parties to this Agreement and supersedes all prior written or oral and all contemporaneous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oral agreements, understandings and negotiations with respect to the subject matter hereof. This Agreement may be executed in two or more counterparts, each one of which shall be an original, and delivered by electronic means, (including any electronic signature covered by the U.S. federal ESIGN Act of 2000, Uniform Electronic Transactions Act, the Electronic Signatures and Records Act or other applicable law, e.g., www.docusign.com)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42"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15"/>
          <w:szCs w:val="15"/>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the Prospectus and the Offering Press Releases (and any amendments and supplements to the foregoing), as contemplated by the Securities Act, the Exchange Act and applicable French laws and regulations.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b w:val="1"/>
          <w:bCs w:val="1"/>
          <w:color w:val="auto"/>
        </w:rPr>
        <w:t>Section 22. Product Governance Rules</w:t>
      </w:r>
      <w:r>
        <w:rPr>
          <w:rFonts w:ascii="Times New Roman" w:cs="Times New Roman" w:eastAsia="Times New Roman" w:hAnsi="Times New Roman"/>
          <w:sz w:val="15"/>
          <w:szCs w:val="15"/>
          <w:color w:val="auto"/>
        </w:rPr>
        <w:t>. Solely for the purposes of the requirements of Article 9(8) of the MIFID Product Governance rules under EU Delegated Directive 2017/593</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b w:val="1"/>
          <w:bCs w:val="1"/>
          <w:color w:val="auto"/>
        </w:rPr>
        <w:t>Delegated Directive</w:t>
      </w:r>
      <w:r>
        <w:rPr>
          <w:rFonts w:ascii="Times New Roman" w:cs="Times New Roman" w:eastAsia="Times New Roman" w:hAnsi="Times New Roman"/>
          <w:sz w:val="15"/>
          <w:szCs w:val="15"/>
          <w:color w:val="auto"/>
        </w:rPr>
        <w:t>”) regarding the mutual responsibilities of manufacturers under the Product Governance requirements contained within: (a) MiFID II; (b) Articles 9 and 10 of the Delegated Directive; and (c) local implementing measures (the “</w:t>
      </w:r>
      <w:r>
        <w:rPr>
          <w:rFonts w:ascii="Times New Roman" w:cs="Times New Roman" w:eastAsia="Times New Roman" w:hAnsi="Times New Roman"/>
          <w:sz w:val="15"/>
          <w:szCs w:val="15"/>
          <w:b w:val="1"/>
          <w:bCs w:val="1"/>
          <w:color w:val="auto"/>
        </w:rPr>
        <w:t>Product Governance Rules</w:t>
      </w:r>
      <w:r>
        <w:rPr>
          <w:rFonts w:ascii="Times New Roman" w:cs="Times New Roman" w:eastAsia="Times New Roman" w:hAnsi="Times New Roman"/>
          <w:sz w:val="15"/>
          <w:szCs w:val="15"/>
          <w:color w:val="auto"/>
        </w:rPr>
        <w:t>”) (i) each manufacturer acknowledges to each other manufacturer that it understands the responsibilities conferred upon it under the Product Governance Rules relating to each of the product approval process, the target market and the eligible distribution channels for dissemination of the Offered Securities, the related information set out in the Prospectus in connection with the Offered Securities and the requirement to carry out a product approval process; and (ii) the Underwriters and the Company note the application of the Product Governance Rules and acknowledge the target market and distribution channels identified as applying to the Offered Securities by the manufacturers and the related information set out in the Prospectus in connection with the Offered Securities .</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46" w:name="page47"/>
    <w:bookmarkEnd w:id="46"/>
    <w:p>
      <w:pPr>
        <w:ind w:firstLine="540"/>
        <w:spacing w:after="0" w:line="280" w:lineRule="auto"/>
        <w:rPr>
          <w:sz w:val="20"/>
          <w:szCs w:val="20"/>
          <w:color w:val="auto"/>
        </w:rPr>
      </w:pPr>
      <w:r>
        <w:rPr>
          <w:rFonts w:ascii="Times New Roman" w:cs="Times New Roman" w:eastAsia="Times New Roman" w:hAnsi="Times New Roman"/>
          <w:sz w:val="15"/>
          <w:szCs w:val="15"/>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b w:val="1"/>
          <w:bCs w:val="1"/>
          <w:color w:val="auto"/>
        </w:rPr>
        <w:t>NANOBIOTIX S.A.</w:t>
      </w:r>
    </w:p>
    <w:p>
      <w:pPr>
        <w:spacing w:after="0" w:line="192"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Laurent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20955</wp:posOffset>
            </wp:positionV>
            <wp:extent cx="3216275"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16275" cy="14605"/>
                    </a:xfrm>
                    <a:prstGeom prst="rect">
                      <a:avLst/>
                    </a:prstGeom>
                    <a:noFill/>
                  </pic:spPr>
                </pic:pic>
              </a:graphicData>
            </a:graphic>
          </wp:anchor>
        </w:drawing>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color w:val="auto"/>
        </w:rPr>
        <w:t>Name: Laurent Levy</w:t>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color w:val="auto"/>
        </w:rPr>
        <w:t>Title: Chairman of the Executive Board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47" w:name="page48"/>
    <w:bookmarkEnd w:id="47"/>
    <w:p>
      <w:pPr>
        <w:ind w:left="540"/>
        <w:spacing w:after="0"/>
        <w:rPr>
          <w:sz w:val="20"/>
          <w:szCs w:val="20"/>
          <w:color w:val="auto"/>
        </w:rPr>
      </w:pPr>
      <w:r>
        <w:rPr>
          <w:rFonts w:ascii="Times New Roman" w:cs="Times New Roman" w:eastAsia="Times New Roman" w:hAnsi="Times New Roman"/>
          <w:sz w:val="14"/>
          <w:szCs w:val="14"/>
          <w:color w:val="auto"/>
        </w:rPr>
        <w:t>The foregoing Agreement is hereby confirmed and accepted by the Representatives in New York, New York as of the date first above written.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JEFFERIES LLC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JEFFERIES GMBH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TD SECURITIES (USA) LLC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STIFEL, NICOLAUS &amp; COMPANY, INCORPORATED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STIFEL EUROPE SECURITIES SAS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Acting individually and as Representatives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the several Underwriters named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the attached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JEFFERIES LLC</w:t>
      </w:r>
    </w:p>
    <w:p>
      <w:pPr>
        <w:spacing w:after="0" w:line="19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Jack Fabbri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20955</wp:posOffset>
            </wp:positionV>
            <wp:extent cx="2144395"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44395" cy="14605"/>
                    </a:xfrm>
                    <a:prstGeom prst="rect">
                      <a:avLst/>
                    </a:prstGeom>
                    <a:noFill/>
                  </pic:spPr>
                </pic:pic>
              </a:graphicData>
            </a:graphic>
          </wp:anchor>
        </w:drawing>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Name: Jack Fabbri</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JEFFERIES GMBH</w:t>
      </w:r>
    </w:p>
    <w:p>
      <w:pPr>
        <w:spacing w:after="0" w:line="19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Gil Bar-Nahum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20955</wp:posOffset>
            </wp:positionV>
            <wp:extent cx="2144395"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4395" cy="14605"/>
                    </a:xfrm>
                    <a:prstGeom prst="rect">
                      <a:avLst/>
                    </a:prstGeom>
                    <a:noFill/>
                  </pic:spPr>
                </pic:pic>
              </a:graphicData>
            </a:graphic>
          </wp:anchor>
        </w:drawing>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Name: Gil Bar-Nahum</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JEFFERIES GMBH</w:t>
      </w:r>
    </w:p>
    <w:p>
      <w:pPr>
        <w:spacing w:after="0" w:line="19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Oliver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20955</wp:posOffset>
            </wp:positionV>
            <wp:extent cx="2144395"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4395" cy="14605"/>
                    </a:xfrm>
                    <a:prstGeom prst="rect">
                      <a:avLst/>
                    </a:prstGeom>
                    <a:noFill/>
                  </pic:spPr>
                </pic:pic>
              </a:graphicData>
            </a:graphic>
          </wp:anchor>
        </w:drawing>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Name: Oliver Diehl</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TD SECURITIES (USA) LLC</w:t>
      </w:r>
    </w:p>
    <w:p>
      <w:pPr>
        <w:spacing w:after="0" w:line="19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Brian Hagerty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20955</wp:posOffset>
            </wp:positionV>
            <wp:extent cx="2144395"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4395" cy="14605"/>
                    </a:xfrm>
                    <a:prstGeom prst="rect">
                      <a:avLst/>
                    </a:prstGeom>
                    <a:noFill/>
                  </pic:spPr>
                </pic:pic>
              </a:graphicData>
            </a:graphic>
          </wp:anchor>
        </w:drawing>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Name: Brian Hagerty</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3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139"/>
          </w:cols>
          <w:pgMar w:left="320" w:top="305"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b w:val="1"/>
          <w:bCs w:val="1"/>
          <w:color w:val="auto"/>
        </w:rPr>
        <w:t>STIFEL, NICOLAUS &amp; COMPANY, INCORPORATED</w:t>
      </w:r>
    </w:p>
    <w:p>
      <w:pPr>
        <w:spacing w:after="0" w:line="19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Seth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20955</wp:posOffset>
            </wp:positionV>
            <wp:extent cx="2144395"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4395" cy="14605"/>
                    </a:xfrm>
                    <a:prstGeom prst="rect">
                      <a:avLst/>
                    </a:prstGeom>
                    <a:noFill/>
                  </pic:spPr>
                </pic:pic>
              </a:graphicData>
            </a:graphic>
          </wp:anchor>
        </w:drawing>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Name: Seth Rubin</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Title: Head of Global Equity Capital Markets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STIFEL EUROPE SECURITIES SAS</w:t>
      </w:r>
    </w:p>
    <w:p>
      <w:pPr>
        <w:spacing w:after="0" w:line="19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Gillingham Gregoire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20955</wp:posOffset>
            </wp:positionV>
            <wp:extent cx="2144395"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4395" cy="14605"/>
                    </a:xfrm>
                    <a:prstGeom prst="rect">
                      <a:avLst/>
                    </a:prstGeom>
                    <a:noFill/>
                  </pic:spPr>
                </pic:pic>
              </a:graphicData>
            </a:graphic>
          </wp:anchor>
        </w:drawing>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Name: Gillingham Gregoire</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Title: President</w:t>
      </w:r>
    </w:p>
    <w:p>
      <w:pPr>
        <w:spacing w:after="0" w:line="32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715518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139"/>
          </w:cols>
          <w:pgMar w:left="320" w:top="301"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8"/>
        </w:trPr>
        <w:tc>
          <w:tcPr>
            <w:tcW w:w="3900" w:type="dxa"/>
            <w:vAlign w:val="bottom"/>
          </w:tcPr>
          <w:p>
            <w:pPr>
              <w:spacing w:after="0"/>
              <w:rPr>
                <w:sz w:val="17"/>
                <w:szCs w:val="17"/>
                <w:color w:val="auto"/>
              </w:rPr>
            </w:pPr>
          </w:p>
        </w:tc>
        <w:tc>
          <w:tcPr>
            <w:tcW w:w="4680" w:type="dxa"/>
            <w:vAlign w:val="bottom"/>
          </w:tcPr>
          <w:p>
            <w:pPr>
              <w:jc w:val="right"/>
              <w:ind w:right="2525"/>
              <w:spacing w:after="0"/>
              <w:rPr>
                <w:sz w:val="20"/>
                <w:szCs w:val="20"/>
                <w:color w:val="auto"/>
              </w:rPr>
            </w:pPr>
            <w:r>
              <w:rPr>
                <w:rFonts w:ascii="Times New Roman" w:cs="Times New Roman" w:eastAsia="Times New Roman" w:hAnsi="Times New Roman"/>
                <w:sz w:val="15"/>
                <w:szCs w:val="15"/>
                <w:b w:val="1"/>
                <w:bCs w:val="1"/>
                <w:color w:val="auto"/>
              </w:rPr>
              <w:t>Schedule A</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43"/>
        </w:trPr>
        <w:tc>
          <w:tcPr>
            <w:tcW w:w="39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Total Number</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Total Number</w:t>
            </w:r>
          </w:p>
        </w:tc>
      </w:tr>
      <w:tr>
        <w:trPr>
          <w:trHeight w:val="180"/>
        </w:trPr>
        <w:tc>
          <w:tcPr>
            <w:tcW w:w="3900" w:type="dxa"/>
            <w:vAlign w:val="bottom"/>
          </w:tcPr>
          <w:p>
            <w:pPr>
              <w:spacing w:after="0"/>
              <w:rPr>
                <w:sz w:val="15"/>
                <w:szCs w:val="15"/>
                <w:color w:val="auto"/>
              </w:rPr>
            </w:pPr>
          </w:p>
        </w:tc>
        <w:tc>
          <w:tcPr>
            <w:tcW w:w="4680" w:type="dxa"/>
            <w:vAlign w:val="bottom"/>
          </w:tcPr>
          <w:p>
            <w:pPr>
              <w:jc w:val="center"/>
              <w:ind w:left="3225"/>
              <w:spacing w:after="0"/>
              <w:rPr>
                <w:sz w:val="20"/>
                <w:szCs w:val="20"/>
                <w:color w:val="auto"/>
              </w:rPr>
            </w:pPr>
            <w:r>
              <w:rPr>
                <w:rFonts w:ascii="Times New Roman" w:cs="Times New Roman" w:eastAsia="Times New Roman" w:hAnsi="Times New Roman"/>
                <w:sz w:val="15"/>
                <w:szCs w:val="15"/>
                <w:b w:val="1"/>
                <w:bCs w:val="1"/>
                <w:color w:val="auto"/>
                <w:w w:val="98"/>
              </w:rPr>
              <w:t>Total Number</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of Firm Shares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of Pre-Funded</w:t>
            </w:r>
          </w:p>
        </w:tc>
      </w:tr>
      <w:tr>
        <w:trPr>
          <w:trHeight w:val="180"/>
        </w:trPr>
        <w:tc>
          <w:tcPr>
            <w:tcW w:w="3900" w:type="dxa"/>
            <w:vAlign w:val="bottom"/>
          </w:tcPr>
          <w:p>
            <w:pPr>
              <w:spacing w:after="0"/>
              <w:rPr>
                <w:sz w:val="15"/>
                <w:szCs w:val="15"/>
                <w:color w:val="auto"/>
              </w:rPr>
            </w:pPr>
          </w:p>
        </w:tc>
        <w:tc>
          <w:tcPr>
            <w:tcW w:w="4680" w:type="dxa"/>
            <w:vAlign w:val="bottom"/>
          </w:tcPr>
          <w:p>
            <w:pPr>
              <w:jc w:val="center"/>
              <w:ind w:left="3205"/>
              <w:spacing w:after="0"/>
              <w:rPr>
                <w:sz w:val="20"/>
                <w:szCs w:val="20"/>
                <w:color w:val="auto"/>
              </w:rPr>
            </w:pPr>
            <w:r>
              <w:rPr>
                <w:rFonts w:ascii="Times New Roman" w:cs="Times New Roman" w:eastAsia="Times New Roman" w:hAnsi="Times New Roman"/>
                <w:sz w:val="15"/>
                <w:szCs w:val="15"/>
                <w:b w:val="1"/>
                <w:bCs w:val="1"/>
                <w:color w:val="auto"/>
                <w:w w:val="99"/>
              </w:rPr>
              <w:t>of Firm ADSs</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to be Purchased</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Warrants to be</w:t>
            </w:r>
          </w:p>
        </w:tc>
      </w:tr>
      <w:tr>
        <w:trPr>
          <w:trHeight w:val="198"/>
        </w:trPr>
        <w:tc>
          <w:tcPr>
            <w:tcW w:w="3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 of Underwriters</w:t>
            </w:r>
          </w:p>
        </w:tc>
        <w:tc>
          <w:tcPr>
            <w:tcW w:w="4680" w:type="dxa"/>
            <w:vAlign w:val="bottom"/>
          </w:tcPr>
          <w:p>
            <w:pPr>
              <w:jc w:val="center"/>
              <w:ind w:left="3205"/>
              <w:spacing w:after="0"/>
              <w:rPr>
                <w:sz w:val="20"/>
                <w:szCs w:val="20"/>
                <w:color w:val="auto"/>
              </w:rPr>
            </w:pPr>
            <w:r>
              <w:rPr>
                <w:rFonts w:ascii="Times New Roman" w:cs="Times New Roman" w:eastAsia="Times New Roman" w:hAnsi="Times New Roman"/>
                <w:sz w:val="15"/>
                <w:szCs w:val="15"/>
                <w:b w:val="1"/>
                <w:bCs w:val="1"/>
                <w:color w:val="auto"/>
              </w:rPr>
              <w:t>to be Purchased</w:t>
            </w:r>
          </w:p>
        </w:tc>
        <w:tc>
          <w:tcPr>
            <w:tcW w:w="13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Purchased</w:t>
            </w:r>
          </w:p>
        </w:tc>
      </w:tr>
      <w:tr>
        <w:trPr>
          <w:trHeight w:val="181"/>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Jefferies LLC</w:t>
            </w:r>
          </w:p>
        </w:tc>
        <w:tc>
          <w:tcPr>
            <w:tcW w:w="46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0</w:t>
            </w:r>
          </w:p>
        </w:tc>
        <w:tc>
          <w:tcPr>
            <w:tcW w:w="13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0</w:t>
            </w:r>
          </w:p>
        </w:tc>
        <w:tc>
          <w:tcPr>
            <w:tcW w:w="13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0</w:t>
            </w:r>
          </w:p>
        </w:tc>
      </w:tr>
      <w:tr>
        <w:trPr>
          <w:trHeight w:val="180"/>
        </w:trPr>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Jefferies GmbH</w:t>
            </w:r>
          </w:p>
        </w:tc>
        <w:tc>
          <w:tcPr>
            <w:tcW w:w="46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0</w:t>
            </w:r>
          </w:p>
        </w:tc>
        <w:tc>
          <w:tcPr>
            <w:tcW w:w="13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1,357,618</w:t>
            </w:r>
          </w:p>
        </w:tc>
        <w:tc>
          <w:tcPr>
            <w:tcW w:w="13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239,123</w:t>
            </w:r>
          </w:p>
        </w:tc>
      </w:tr>
      <w:tr>
        <w:trPr>
          <w:trHeight w:val="18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TD Securities (USA) LLC</w:t>
            </w:r>
          </w:p>
        </w:tc>
        <w:tc>
          <w:tcPr>
            <w:tcW w:w="46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225,373</w:t>
            </w:r>
          </w:p>
        </w:tc>
        <w:tc>
          <w:tcPr>
            <w:tcW w:w="13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0</w:t>
            </w:r>
          </w:p>
        </w:tc>
        <w:tc>
          <w:tcPr>
            <w:tcW w:w="13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0</w:t>
            </w:r>
          </w:p>
        </w:tc>
      </w:tr>
      <w:tr>
        <w:trPr>
          <w:trHeight w:val="180"/>
        </w:trPr>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Stifel, Nicolaus &amp; Company, Incorporated</w:t>
            </w:r>
          </w:p>
        </w:tc>
        <w:tc>
          <w:tcPr>
            <w:tcW w:w="46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0</w:t>
            </w:r>
          </w:p>
        </w:tc>
        <w:tc>
          <w:tcPr>
            <w:tcW w:w="13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0</w:t>
            </w:r>
          </w:p>
        </w:tc>
        <w:tc>
          <w:tcPr>
            <w:tcW w:w="13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0</w:t>
            </w:r>
          </w:p>
        </w:tc>
      </w:tr>
      <w:tr>
        <w:trPr>
          <w:trHeight w:val="18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Stifel Europe Securities SAS</w:t>
            </w:r>
          </w:p>
        </w:tc>
        <w:tc>
          <w:tcPr>
            <w:tcW w:w="46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0</w:t>
            </w:r>
          </w:p>
        </w:tc>
        <w:tc>
          <w:tcPr>
            <w:tcW w:w="13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601,671</w:t>
            </w:r>
          </w:p>
        </w:tc>
        <w:tc>
          <w:tcPr>
            <w:tcW w:w="13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105,976</w:t>
            </w:r>
          </w:p>
        </w:tc>
      </w:tr>
      <w:tr>
        <w:trPr>
          <w:trHeight w:val="198"/>
        </w:trPr>
        <w:tc>
          <w:tcPr>
            <w:tcW w:w="3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468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225,373</w:t>
            </w:r>
          </w:p>
        </w:tc>
        <w:tc>
          <w:tcPr>
            <w:tcW w:w="136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1,959,289</w:t>
            </w:r>
          </w:p>
        </w:tc>
        <w:tc>
          <w:tcPr>
            <w:tcW w:w="1320" w:type="dxa"/>
            <w:vAlign w:val="bottom"/>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345,099</w:t>
            </w:r>
          </w:p>
        </w:tc>
      </w:tr>
      <w:tr>
        <w:trPr>
          <w:trHeight w:val="491"/>
        </w:trPr>
        <w:tc>
          <w:tcPr>
            <w:tcW w:w="39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21" w:right="3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5"/>
          <w:szCs w:val="15"/>
          <w:b w:val="1"/>
          <w:bCs w:val="1"/>
          <w:color w:val="auto"/>
        </w:rPr>
        <w:t>Schedule B</w:t>
      </w:r>
    </w:p>
    <w:p>
      <w:pPr>
        <w:spacing w:after="0" w:line="18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5"/>
          <w:szCs w:val="15"/>
          <w:b w:val="1"/>
          <w:bCs w:val="1"/>
          <w:u w:val="single" w:color="auto"/>
          <w:color w:val="auto"/>
        </w:rPr>
        <w:t>Free Writing Prospectuses Included in the Time of Sale Prospectus</w:t>
      </w:r>
    </w:p>
    <w:p>
      <w:pPr>
        <w:spacing w:after="0" w:line="188" w:lineRule="exact"/>
        <w:rPr>
          <w:sz w:val="20"/>
          <w:szCs w:val="20"/>
          <w:color w:val="auto"/>
        </w:rPr>
      </w:pPr>
    </w:p>
    <w:p>
      <w:pPr>
        <w:ind w:left="280" w:hanging="280"/>
        <w:spacing w:after="0"/>
        <w:tabs>
          <w:tab w:leader="none" w:pos="280" w:val="left"/>
        </w:tabs>
        <w:numPr>
          <w:ilvl w:val="0"/>
          <w:numId w:val="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Free Writing Prospectuses</w:t>
      </w:r>
    </w:p>
    <w:p>
      <w:pPr>
        <w:spacing w:after="0" w:line="191" w:lineRule="exact"/>
        <w:rPr>
          <w:rFonts w:ascii="Times New Roman" w:cs="Times New Roman" w:eastAsia="Times New Roman" w:hAnsi="Times New Roman"/>
          <w:sz w:val="15"/>
          <w:szCs w:val="15"/>
          <w:b w:val="1"/>
          <w:bCs w:val="1"/>
          <w:color w:val="auto"/>
        </w:rPr>
      </w:pPr>
    </w:p>
    <w:p>
      <w:pPr>
        <w:ind w:left="820" w:hanging="279"/>
        <w:spacing w:after="0"/>
        <w:tabs>
          <w:tab w:leader="none" w:pos="82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Terms and Conditions of the Pre-Funded Warrants;</w:t>
      </w:r>
    </w:p>
    <w:p>
      <w:pPr>
        <w:spacing w:after="0" w:line="21"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Launch Press Release, issued by the Company on May 20, 2026; and</w:t>
      </w:r>
    </w:p>
    <w:p>
      <w:pPr>
        <w:spacing w:after="0" w:line="7"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Pricing Press Release, issued by the Company on May 21, 2026.</w:t>
      </w:r>
    </w:p>
    <w:p>
      <w:pPr>
        <w:spacing w:after="0" w:line="170" w:lineRule="exact"/>
        <w:rPr>
          <w:rFonts w:ascii="Times New Roman" w:cs="Times New Roman" w:eastAsia="Times New Roman" w:hAnsi="Times New Roman"/>
          <w:sz w:val="15"/>
          <w:szCs w:val="15"/>
          <w:color w:val="auto"/>
        </w:rPr>
      </w:pPr>
    </w:p>
    <w:p>
      <w:pPr>
        <w:ind w:left="280" w:hanging="280"/>
        <w:spacing w:after="0"/>
        <w:tabs>
          <w:tab w:leader="none" w:pos="280" w:val="left"/>
        </w:tabs>
        <w:numPr>
          <w:ilvl w:val="0"/>
          <w:numId w:val="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Pricing information orally conveyed by the Underwriters:</w:t>
      </w:r>
    </w:p>
    <w:p>
      <w:pPr>
        <w:spacing w:after="0" w:line="191" w:lineRule="exact"/>
        <w:rPr>
          <w:rFonts w:ascii="Times New Roman" w:cs="Times New Roman" w:eastAsia="Times New Roman" w:hAnsi="Times New Roman"/>
          <w:sz w:val="15"/>
          <w:szCs w:val="15"/>
          <w:b w:val="1"/>
          <w:bCs w:val="1"/>
          <w:color w:val="auto"/>
        </w:rPr>
      </w:pPr>
    </w:p>
    <w:p>
      <w:pPr>
        <w:ind w:left="820" w:hanging="279"/>
        <w:spacing w:after="0"/>
        <w:tabs>
          <w:tab w:leader="none" w:pos="82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Offering price per ADS: $38.98</w:t>
      </w:r>
    </w:p>
    <w:p>
      <w:pPr>
        <w:spacing w:after="0" w:line="21"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Offering price per Firm Share: €33.60</w:t>
      </w:r>
    </w:p>
    <w:p>
      <w:pPr>
        <w:spacing w:after="0" w:line="7"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Offering price per Pre-Funded Warrants: €33.57</w:t>
      </w:r>
    </w:p>
    <w:p>
      <w:pPr>
        <w:spacing w:after="0" w:line="7"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Number of Firm ADSs: 225,373</w:t>
      </w:r>
    </w:p>
    <w:p>
      <w:pPr>
        <w:spacing w:after="0" w:line="7"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Number of Option ADSs: 33,805</w:t>
      </w:r>
    </w:p>
    <w:p>
      <w:pPr>
        <w:spacing w:after="0" w:line="7"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Number of Firm Shares: 1,959,289</w:t>
      </w:r>
    </w:p>
    <w:p>
      <w:pPr>
        <w:spacing w:after="0" w:line="7"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Number of Pre-Funded Warrants: 345,099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212725</wp:posOffset>
            </wp:positionV>
            <wp:extent cx="715518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00"/>
          </w:cols>
          <w:pgMar w:left="580" w:top="301" w:right="3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5"/>
          <w:szCs w:val="15"/>
          <w:b w:val="1"/>
          <w:bCs w:val="1"/>
          <w:color w:val="auto"/>
        </w:rPr>
        <w:t>Schedule 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Permitted Section 5(d) Communications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224155</wp:posOffset>
            </wp:positionV>
            <wp:extent cx="715518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Form of Lock-up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18,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JEFFERIES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520 Madison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 10022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States of America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Jefferies GmbH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Bockenheimer Landstrasse 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60323 Frankfurt am Main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Germany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TD Securities (USA)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Vanderbilt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NY 10017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States of America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Stifel, Nicolaus &amp; Company, Incorporated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787 7th Avenue, 11th Floor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States of America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Stifel Europe Securities SAS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26 avenue des Champs-Elysées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75 008 Paris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France</w:t>
      </w:r>
    </w:p>
    <w:p>
      <w:pPr>
        <w:spacing w:after="0" w:line="17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5"/>
          <w:szCs w:val="15"/>
          <w:b w:val="1"/>
          <w:bCs w:val="1"/>
          <w:color w:val="auto"/>
        </w:rPr>
        <w:t>RE:</w:t>
      </w:r>
      <w:r>
        <w:rPr>
          <w:sz w:val="20"/>
          <w:szCs w:val="20"/>
          <w:color w:val="auto"/>
        </w:rPr>
        <w:tab/>
      </w:r>
      <w:r>
        <w:rPr>
          <w:rFonts w:ascii="Times New Roman" w:cs="Times New Roman" w:eastAsia="Times New Roman" w:hAnsi="Times New Roman"/>
          <w:sz w:val="15"/>
          <w:szCs w:val="15"/>
          <w:b w:val="1"/>
          <w:bCs w:val="1"/>
          <w:color w:val="auto"/>
        </w:rPr>
        <w:t>Nanobiotix S.A.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b w:val="1"/>
          <w:bCs w:val="1"/>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The undersigned is an executive board member or supervisory board member of the Company and/or a record or beneficial owner of ordinary shares, nominal value €0.03 per share, of the Company (“</w:t>
      </w:r>
      <w:r>
        <w:rPr>
          <w:rFonts w:ascii="Times New Roman" w:cs="Times New Roman" w:eastAsia="Times New Roman" w:hAnsi="Times New Roman"/>
          <w:sz w:val="15"/>
          <w:szCs w:val="15"/>
          <w:b w:val="1"/>
          <w:bCs w:val="1"/>
          <w:i w:val="1"/>
          <w:iCs w:val="1"/>
          <w:color w:val="auto"/>
        </w:rPr>
        <w:t>Ordinary Shares</w:t>
      </w:r>
      <w:r>
        <w:rPr>
          <w:rFonts w:ascii="Times New Roman" w:cs="Times New Roman" w:eastAsia="Times New Roman" w:hAnsi="Times New Roman"/>
          <w:sz w:val="15"/>
          <w:szCs w:val="15"/>
          <w:color w:val="auto"/>
        </w:rPr>
        <w:t>”), American Depositary Shares of the Company (“</w:t>
      </w:r>
      <w:r>
        <w:rPr>
          <w:rFonts w:ascii="Times New Roman" w:cs="Times New Roman" w:eastAsia="Times New Roman" w:hAnsi="Times New Roman"/>
          <w:sz w:val="15"/>
          <w:szCs w:val="15"/>
          <w:b w:val="1"/>
          <w:bCs w:val="1"/>
          <w:i w:val="1"/>
          <w:iCs w:val="1"/>
          <w:color w:val="auto"/>
        </w:rPr>
        <w:t>ADSs</w:t>
      </w:r>
      <w:r>
        <w:rPr>
          <w:rFonts w:ascii="Times New Roman" w:cs="Times New Roman" w:eastAsia="Times New Roman" w:hAnsi="Times New Roman"/>
          <w:sz w:val="15"/>
          <w:szCs w:val="15"/>
          <w:color w:val="auto"/>
        </w:rPr>
        <w:t>”), each representing one Ordinary Share of the Company, or securities convertible into or exchangeable or exercisable for ADSs or Ordinary Shares. The Company proposes to conduct a public offering of Ordinary Shares, which may be in the form of ADSs (the “</w:t>
      </w:r>
      <w:r>
        <w:rPr>
          <w:rFonts w:ascii="Times New Roman" w:cs="Times New Roman" w:eastAsia="Times New Roman" w:hAnsi="Times New Roman"/>
          <w:sz w:val="15"/>
          <w:szCs w:val="15"/>
          <w:b w:val="1"/>
          <w:bCs w:val="1"/>
          <w:i w:val="1"/>
          <w:iCs w:val="1"/>
          <w:color w:val="auto"/>
        </w:rPr>
        <w:t>Offering</w:t>
      </w:r>
      <w:r>
        <w:rPr>
          <w:rFonts w:ascii="Times New Roman" w:cs="Times New Roman" w:eastAsia="Times New Roman" w:hAnsi="Times New Roman"/>
          <w:sz w:val="15"/>
          <w:szCs w:val="15"/>
          <w:color w:val="auto"/>
        </w:rPr>
        <w:t>”), for which Jefferies LLC, TD Securities (USA) LLC, Stifel, Nicolaus &amp; Company, Incorporated, Jefferies GmbH and Stifel Europe Securities SAS will act as underwriters (the “</w:t>
      </w:r>
      <w:r>
        <w:rPr>
          <w:rFonts w:ascii="Times New Roman" w:cs="Times New Roman" w:eastAsia="Times New Roman" w:hAnsi="Times New Roman"/>
          <w:sz w:val="15"/>
          <w:szCs w:val="15"/>
          <w:b w:val="1"/>
          <w:bCs w:val="1"/>
          <w:i w:val="1"/>
          <w:iCs w:val="1"/>
          <w:color w:val="auto"/>
        </w:rPr>
        <w:t>Underwriters</w:t>
      </w:r>
      <w:r>
        <w:rPr>
          <w:rFonts w:ascii="Times New Roman" w:cs="Times New Roman" w:eastAsia="Times New Roman" w:hAnsi="Times New Roman"/>
          <w:sz w:val="15"/>
          <w:szCs w:val="15"/>
          <w:color w:val="auto"/>
        </w:rPr>
        <w:t>”). The undersigned recognizes that the Offering will benefit each of the Company and the undersigned. The undersigned acknowledges that the Underwriters are relying on the representations and agreements of the contained in this letter agreement in conducting the Offering and, at a subsequent date, in entering into an underwriting agreement (the “</w:t>
      </w:r>
      <w:r>
        <w:rPr>
          <w:rFonts w:ascii="Times New Roman" w:cs="Times New Roman" w:eastAsia="Times New Roman" w:hAnsi="Times New Roman"/>
          <w:sz w:val="15"/>
          <w:szCs w:val="15"/>
          <w:b w:val="1"/>
          <w:bCs w:val="1"/>
          <w:i w:val="1"/>
          <w:iCs w:val="1"/>
          <w:color w:val="auto"/>
        </w:rPr>
        <w:t>Underwriting Agreement</w:t>
      </w:r>
      <w:r>
        <w:rPr>
          <w:rFonts w:ascii="Times New Roman" w:cs="Times New Roman" w:eastAsia="Times New Roman" w:hAnsi="Times New Roman"/>
          <w:sz w:val="15"/>
          <w:szCs w:val="15"/>
          <w:color w:val="auto"/>
        </w:rPr>
        <w:t>”) and other underwriting arrangements with the Company with respect to the Offering.</w:t>
      </w:r>
    </w:p>
    <w:p>
      <w:pPr>
        <w:spacing w:after="0" w:line="15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Annex A sets forth definitions for capitalized terms used in this letter agreement that are not defined in the body of this letter agreement. Those definitions are a part of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189865</wp:posOffset>
            </wp:positionV>
            <wp:extent cx="7155180"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3" w:name="page54"/>
    <w:bookmarkEnd w:id="53"/>
    <w:p>
      <w:pPr>
        <w:jc w:val="both"/>
        <w:spacing w:after="0" w:line="265" w:lineRule="auto"/>
        <w:rPr>
          <w:sz w:val="20"/>
          <w:szCs w:val="20"/>
          <w:color w:val="auto"/>
        </w:rPr>
      </w:pPr>
      <w:r>
        <w:rPr>
          <w:rFonts w:ascii="Times New Roman" w:cs="Times New Roman" w:eastAsia="Times New Roman" w:hAnsi="Times New Roman"/>
          <w:sz w:val="15"/>
          <w:szCs w:val="15"/>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the Underwriters, which may withhold their consent in their sole discretion:</w:t>
      </w:r>
    </w:p>
    <w:p>
      <w:pPr>
        <w:spacing w:after="0" w:line="149" w:lineRule="exact"/>
        <w:rPr>
          <w:sz w:val="20"/>
          <w:szCs w:val="20"/>
          <w:color w:val="auto"/>
        </w:rPr>
      </w:pPr>
    </w:p>
    <w:p>
      <w:pPr>
        <w:ind w:left="1080" w:hanging="550"/>
        <w:spacing w:after="0" w:line="280" w:lineRule="auto"/>
        <w:tabs>
          <w:tab w:leader="none" w:pos="10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or Offer to Sell any ADSs, Ordinary Shares or Related Securities currently or hereafter owned either of record or beneficially (as defined in Rule 13d-3 under the Exchange Act) by the undersigned or such Family Member,</w:t>
      </w:r>
    </w:p>
    <w:p>
      <w:pPr>
        <w:spacing w:after="0" w:line="137" w:lineRule="exact"/>
        <w:rPr>
          <w:rFonts w:ascii="Times New Roman" w:cs="Times New Roman" w:eastAsia="Times New Roman" w:hAnsi="Times New Roman"/>
          <w:sz w:val="15"/>
          <w:szCs w:val="15"/>
          <w:color w:val="auto"/>
        </w:rPr>
      </w:pPr>
    </w:p>
    <w:p>
      <w:pPr>
        <w:ind w:left="1080" w:hanging="550"/>
        <w:spacing w:after="0"/>
        <w:tabs>
          <w:tab w:leader="none" w:pos="10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Swap,</w:t>
      </w:r>
    </w:p>
    <w:p>
      <w:pPr>
        <w:spacing w:after="0" w:line="187" w:lineRule="exact"/>
        <w:rPr>
          <w:rFonts w:ascii="Times New Roman" w:cs="Times New Roman" w:eastAsia="Times New Roman" w:hAnsi="Times New Roman"/>
          <w:sz w:val="15"/>
          <w:szCs w:val="15"/>
          <w:color w:val="auto"/>
        </w:rPr>
      </w:pPr>
    </w:p>
    <w:p>
      <w:pPr>
        <w:jc w:val="both"/>
        <w:ind w:left="1080" w:hanging="550"/>
        <w:spacing w:after="0" w:line="265" w:lineRule="auto"/>
        <w:tabs>
          <w:tab w:leader="none" w:pos="10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demand for, or exercise any right with respect to, the registration under the Securities Act of the offer and sale of any ADSs, Ordinary Shares or Related Securities, or cause to be filed a registration statement, prospectus or prospectus supplement (or an amendment or supplement thereto) with respect to any such registration, or</w:t>
      </w:r>
    </w:p>
    <w:p>
      <w:pPr>
        <w:spacing w:after="0" w:line="149" w:lineRule="exact"/>
        <w:rPr>
          <w:rFonts w:ascii="Times New Roman" w:cs="Times New Roman" w:eastAsia="Times New Roman" w:hAnsi="Times New Roman"/>
          <w:sz w:val="15"/>
          <w:szCs w:val="15"/>
          <w:color w:val="auto"/>
        </w:rPr>
      </w:pPr>
    </w:p>
    <w:p>
      <w:pPr>
        <w:ind w:left="1080" w:hanging="550"/>
        <w:spacing w:after="0"/>
        <w:tabs>
          <w:tab w:leader="none" w:pos="10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publicly announce any intention to do for her/his behalf any of the foregoing.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foregoing will not apply to the registration of the offer and sale of the Ordinary Shares or ADSs in the Offering, and the sale of the Ordinary Shares or ADSs in the Offering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Underwriters, in each case as contemplated by the Underwriting Agreement. In addition, the foregoing restrictions shall not apply to:</w:t>
      </w:r>
    </w:p>
    <w:p>
      <w:pPr>
        <w:spacing w:after="0" w:line="172" w:lineRule="exact"/>
        <w:rPr>
          <w:sz w:val="20"/>
          <w:szCs w:val="20"/>
          <w:color w:val="auto"/>
        </w:rPr>
      </w:pPr>
    </w:p>
    <w:p>
      <w:pPr>
        <w:jc w:val="both"/>
        <w:ind w:left="540" w:hanging="280"/>
        <w:spacing w:after="0" w:line="266" w:lineRule="auto"/>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transfers or dispositions of ADSs and/or Ordinary Shares acquired in the Offering or in open market transactions following the Offering;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no filing or notification under the Exchange Act or other public filing or disclosure will be required or will be voluntarily made during the Lock-Up Period in connection with such transfers or dispositions under this clause (i);</w:t>
      </w:r>
    </w:p>
    <w:p>
      <w:pPr>
        <w:spacing w:after="0" w:line="148" w:lineRule="exact"/>
        <w:rPr>
          <w:rFonts w:ascii="Times New Roman" w:cs="Times New Roman" w:eastAsia="Times New Roman" w:hAnsi="Times New Roman"/>
          <w:sz w:val="15"/>
          <w:szCs w:val="15"/>
          <w:color w:val="auto"/>
        </w:rPr>
      </w:pPr>
    </w:p>
    <w:p>
      <w:pPr>
        <w:ind w:left="540" w:hanging="280"/>
        <w:spacing w:after="0"/>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of ADSs, Ordinary Shares or any Related Securities as a bona fide gift;</w:t>
      </w:r>
    </w:p>
    <w:p>
      <w:pPr>
        <w:spacing w:after="0" w:line="187" w:lineRule="exact"/>
        <w:rPr>
          <w:rFonts w:ascii="Times New Roman" w:cs="Times New Roman" w:eastAsia="Times New Roman" w:hAnsi="Times New Roman"/>
          <w:sz w:val="15"/>
          <w:szCs w:val="15"/>
          <w:color w:val="auto"/>
        </w:rPr>
      </w:pPr>
    </w:p>
    <w:p>
      <w:pPr>
        <w:ind w:left="540" w:hanging="280"/>
        <w:spacing w:after="0" w:line="280" w:lineRule="auto"/>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of ADSs or Ordinary Shares or any Related Securities by will or intestate succession or to any Family Member or to a trust whose beneficiaries consist exclusively of one or more of the undersigned and/or a Family Member;</w:t>
      </w:r>
    </w:p>
    <w:p>
      <w:pPr>
        <w:spacing w:after="0" w:line="137" w:lineRule="exact"/>
        <w:rPr>
          <w:rFonts w:ascii="Times New Roman" w:cs="Times New Roman" w:eastAsia="Times New Roman" w:hAnsi="Times New Roman"/>
          <w:sz w:val="15"/>
          <w:szCs w:val="15"/>
          <w:color w:val="auto"/>
        </w:rPr>
      </w:pPr>
    </w:p>
    <w:p>
      <w:pPr>
        <w:ind w:left="540" w:hanging="280"/>
        <w:spacing w:after="0" w:line="280" w:lineRule="auto"/>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by operation of law, such as transfers of ADSs or Ordinary Shares or any Related Securities pursuant to a domestic order or in connection with a negotiated divorce settlement;</w:t>
      </w:r>
    </w:p>
    <w:p>
      <w:pPr>
        <w:spacing w:after="0" w:line="137" w:lineRule="exact"/>
        <w:rPr>
          <w:rFonts w:ascii="Times New Roman" w:cs="Times New Roman" w:eastAsia="Times New Roman" w:hAnsi="Times New Roman"/>
          <w:sz w:val="15"/>
          <w:szCs w:val="15"/>
          <w:color w:val="auto"/>
        </w:rPr>
      </w:pPr>
    </w:p>
    <w:p>
      <w:pPr>
        <w:jc w:val="both"/>
        <w:ind w:left="540" w:hanging="280"/>
        <w:spacing w:after="0" w:line="257" w:lineRule="auto"/>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transfers of ADSs, Ordinary Shares or any Related Securities to the Company in connection with the repurchase of ADSs or Ordinary Shares in connection with the termination of the undersigned’s services with the Company pursuant to contractual agreements with the Company as in effect as of the date of the final prospectus supplement for the Offering,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no filing or notification under the Exchange Act or under Article L.621-18-2 of the French Monetary and Financial Code (</w:t>
      </w:r>
      <w:r>
        <w:rPr>
          <w:rFonts w:ascii="Times New Roman" w:cs="Times New Roman" w:eastAsia="Times New Roman" w:hAnsi="Times New Roman"/>
          <w:sz w:val="15"/>
          <w:szCs w:val="15"/>
          <w:i w:val="1"/>
          <w:iCs w:val="1"/>
          <w:color w:val="auto"/>
        </w:rPr>
        <w:t>Code monétaire et financier</w:t>
      </w:r>
      <w:r>
        <w:rPr>
          <w:rFonts w:ascii="Times New Roman" w:cs="Times New Roman" w:eastAsia="Times New Roman" w:hAnsi="Times New Roman"/>
          <w:sz w:val="15"/>
          <w:szCs w:val="15"/>
          <w:color w:val="auto"/>
        </w:rPr>
        <w:t>) or other applicable laws and regulations or other public filing or disclosure will be required or will be voluntarily made during the Lock-up Period in connection with such transfers pursuant to this clause (v);</w:t>
      </w:r>
    </w:p>
    <w:p>
      <w:pPr>
        <w:spacing w:after="0" w:line="157" w:lineRule="exact"/>
        <w:rPr>
          <w:rFonts w:ascii="Times New Roman" w:cs="Times New Roman" w:eastAsia="Times New Roman" w:hAnsi="Times New Roman"/>
          <w:sz w:val="15"/>
          <w:szCs w:val="15"/>
          <w:color w:val="auto"/>
        </w:rPr>
      </w:pPr>
    </w:p>
    <w:p>
      <w:pPr>
        <w:jc w:val="both"/>
        <w:ind w:left="540" w:hanging="280"/>
        <w:spacing w:after="0" w:line="257" w:lineRule="auto"/>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establishment of a written trading plan for the transfer of ADSs and/or Ordinary Shares that is intended to satisfy the requirements of Rule 10b5-1 under the Exchange Act or any analogous requirements under French law or practice for non-discretionary transfers of ADSs and/or Ordinary Shares following the date of such written plan (a “Trading Plan”),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 such Trading Plan does not provide for the transfer of ADSs or Ordinary Shares during the Lock-up Period, and (b) to the extent a public disclosure or filing under the Exchange Act, if any, is required of, or voluntarily made by or on behalf of, the undersigned or the Company regarding the establishment of such plan, such disclosure or filing shall include a statement to the effect that no transfer of ADSs or Ordinary Shares may be made under such plan during the Lock-Up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201930</wp:posOffset>
            </wp:positionV>
            <wp:extent cx="715518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54" w:name="page55"/>
    <w:bookmarkEnd w:id="54"/>
    <w:p>
      <w:pPr>
        <w:jc w:val="both"/>
        <w:ind w:left="540" w:hanging="280"/>
        <w:spacing w:after="0" w:line="256" w:lineRule="auto"/>
        <w:tabs>
          <w:tab w:leader="none" w:pos="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transfers of ADSs, Ordinary Shares or any Related Securities pursuant to a bona fide third party tender offer for all outstanding ADSs and Ordinary Shares of the Company, merger, consolidation or other similar transaction made to all holders of the Company’s securities involving a change of control of at least 90% of the voting share capital of the Company (including, without limitation, the entering into any lock-up, voting or similar agreement pursuant to which the undersigned may agree to transfer, sell, tender or otherwise dispose of ADSs, Ordinary Shares or other such securities in connection with such transaction, or vote any ADSs or Ordinary Shares or other such securities in favor of any such transaction),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event that such tender offer, merger, consolidation or other such transaction is not completed, such securities held by the undersigned shall remain subject to the provisions of this letter agreement;</w:t>
      </w:r>
    </w:p>
    <w:p>
      <w:pPr>
        <w:spacing w:after="0" w:line="154" w:lineRule="exact"/>
        <w:rPr>
          <w:rFonts w:ascii="Times New Roman" w:cs="Times New Roman" w:eastAsia="Times New Roman" w:hAnsi="Times New Roman"/>
          <w:sz w:val="15"/>
          <w:szCs w:val="15"/>
          <w:color w:val="auto"/>
        </w:rPr>
      </w:pPr>
    </w:p>
    <w:p>
      <w:pPr>
        <w:jc w:val="both"/>
        <w:ind w:left="540" w:hanging="280"/>
        <w:spacing w:after="0" w:line="257" w:lineRule="auto"/>
        <w:tabs>
          <w:tab w:leader="none" w:pos="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exercises of stock options, warrants (</w:t>
      </w:r>
      <w:r>
        <w:rPr>
          <w:rFonts w:ascii="Times New Roman" w:cs="Times New Roman" w:eastAsia="Times New Roman" w:hAnsi="Times New Roman"/>
          <w:sz w:val="15"/>
          <w:szCs w:val="15"/>
          <w:i w:val="1"/>
          <w:iCs w:val="1"/>
          <w:color w:val="auto"/>
        </w:rPr>
        <w:t>bons de souscription d’actions</w:t>
      </w:r>
      <w:r>
        <w:rPr>
          <w:rFonts w:ascii="Times New Roman" w:cs="Times New Roman" w:eastAsia="Times New Roman" w:hAnsi="Times New Roman"/>
          <w:sz w:val="15"/>
          <w:szCs w:val="15"/>
          <w:color w:val="auto"/>
        </w:rPr>
        <w:t>), founders’ warrants (</w:t>
      </w:r>
      <w:r>
        <w:rPr>
          <w:rFonts w:ascii="Times New Roman" w:cs="Times New Roman" w:eastAsia="Times New Roman" w:hAnsi="Times New Roman"/>
          <w:sz w:val="15"/>
          <w:szCs w:val="15"/>
          <w:i w:val="1"/>
          <w:iCs w:val="1"/>
          <w:color w:val="auto"/>
        </w:rPr>
        <w:t>bons de souscription de parts de créateur d’entreprise</w:t>
      </w:r>
      <w:r>
        <w:rPr>
          <w:rFonts w:ascii="Times New Roman" w:cs="Times New Roman" w:eastAsia="Times New Roman" w:hAnsi="Times New Roman"/>
          <w:sz w:val="15"/>
          <w:szCs w:val="15"/>
          <w:color w:val="auto"/>
        </w:rPr>
        <w:t>) or vesting of free shares (</w:t>
      </w:r>
      <w:r>
        <w:rPr>
          <w:rFonts w:ascii="Times New Roman" w:cs="Times New Roman" w:eastAsia="Times New Roman" w:hAnsi="Times New Roman"/>
          <w:sz w:val="15"/>
          <w:szCs w:val="15"/>
          <w:i w:val="1"/>
          <w:iCs w:val="1"/>
          <w:color w:val="auto"/>
        </w:rPr>
        <w:t>acquisition définitive d’actions gratuites</w:t>
      </w:r>
      <w:r>
        <w:rPr>
          <w:rFonts w:ascii="Times New Roman" w:cs="Times New Roman" w:eastAsia="Times New Roman" w:hAnsi="Times New Roman"/>
          <w:sz w:val="15"/>
          <w:szCs w:val="15"/>
          <w:color w:val="auto"/>
        </w:rPr>
        <w:t xml:space="preserve">) outstanding, described in the final prospectus supplement for this Offering, and held by the undersigned on the date hereof pursuant to any equity incentive plan or agreement in existence as of the date hereof and described in the registration statement relating to the Offering,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subject to sub-clause</w:t>
      </w:r>
    </w:p>
    <w:p>
      <w:pPr>
        <w:spacing w:after="0" w:line="1" w:lineRule="exact"/>
        <w:rPr>
          <w:rFonts w:ascii="Times New Roman" w:cs="Times New Roman" w:eastAsia="Times New Roman" w:hAnsi="Times New Roman"/>
          <w:sz w:val="15"/>
          <w:szCs w:val="15"/>
          <w:color w:val="auto"/>
        </w:rPr>
      </w:pPr>
    </w:p>
    <w:p>
      <w:pPr>
        <w:jc w:val="both"/>
        <w:ind w:left="540"/>
        <w:spacing w:after="0" w:line="25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 of this clause (viii), any ADSs and Ordinary Shares received upon exercise thereof shall remain subject to the provisions of this letter agreement; and (b) dispositions to the Company pursuant to any exercise or vesting described in sub-clause (a) of this clause (viii) on a “cashless” or “net exercise” basis or otherwise for the purpose of satisfying any applicable taxes (including estimated taxes) due in connection with such exercise or vesting. With respect to this clause (viii), no public disclosure will be voluntarily made during the Lock-Up Period in connection with such exercises, vesting and/or dispositions and to the extent any public disclosure or filing is required by law, such disclosure or filing shall state that any disposition pursuant to sub-clause (b) of this clause (viii) is made for the purposes set forth in sub-clause (b); and</w:t>
      </w:r>
    </w:p>
    <w:p>
      <w:pPr>
        <w:spacing w:after="0" w:line="157" w:lineRule="exact"/>
        <w:rPr>
          <w:rFonts w:ascii="Times New Roman" w:cs="Times New Roman" w:eastAsia="Times New Roman" w:hAnsi="Times New Roman"/>
          <w:sz w:val="15"/>
          <w:szCs w:val="15"/>
          <w:color w:val="auto"/>
        </w:rPr>
      </w:pPr>
    </w:p>
    <w:p>
      <w:pPr>
        <w:ind w:left="540" w:hanging="280"/>
        <w:spacing w:after="0" w:line="280" w:lineRule="auto"/>
        <w:tabs>
          <w:tab w:leader="none" w:pos="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taken by the undersigned in his or her capacity as an executive or supervisory board member in respect of primary offers and sales by the Company, which, for the avoidance of doubt, shall be subject to certain limitations set forth in the Underwriting Agreement.</w:t>
      </w:r>
    </w:p>
    <w:p>
      <w:pPr>
        <w:spacing w:after="0" w:line="13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in the case of any transfer or distribution pursuant to clauses (i) (in the event such subsequent resale does not occur in an open market transaction), (ii), (iii)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(iv), it shall be a condition to such transfer that:</w:t>
      </w:r>
    </w:p>
    <w:p>
      <w:pPr>
        <w:spacing w:after="0" w:line="137" w:lineRule="exact"/>
        <w:rPr>
          <w:sz w:val="20"/>
          <w:szCs w:val="20"/>
          <w:color w:val="auto"/>
        </w:rPr>
      </w:pPr>
    </w:p>
    <w:p>
      <w:pPr>
        <w:jc w:val="both"/>
        <w:ind w:left="1080" w:hanging="550"/>
        <w:spacing w:after="0" w:line="260" w:lineRule="auto"/>
        <w:tabs>
          <w:tab w:leader="none" w:pos="10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donee or transferee executes and delivers to the Underwriters an agreement in form and substance satisfactory to the Underwriters stating that such donee or transferee is receiving and holding such ADSs, Ordinary Shares and/or Related Securities subject to the provisions of this letter agreement and agrees not to Sell or Offer to Sell such ADSs, Ordinary Shares and/or Related Securities, engage in any Swap or engage in any other activities restricted under this letter agreement except in accordance with this letter agreement (as if such donee or transferee had been an original signatory hereto), and</w:t>
      </w:r>
    </w:p>
    <w:p>
      <w:pPr>
        <w:spacing w:after="0" w:line="153" w:lineRule="exact"/>
        <w:rPr>
          <w:rFonts w:ascii="Times New Roman" w:cs="Times New Roman" w:eastAsia="Times New Roman" w:hAnsi="Times New Roman"/>
          <w:sz w:val="15"/>
          <w:szCs w:val="15"/>
          <w:color w:val="auto"/>
        </w:rPr>
      </w:pPr>
    </w:p>
    <w:p>
      <w:pPr>
        <w:jc w:val="both"/>
        <w:ind w:left="1080" w:hanging="550"/>
        <w:spacing w:after="0" w:line="265" w:lineRule="auto"/>
        <w:tabs>
          <w:tab w:leader="none" w:pos="10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expiration of the Lock-up Period, no public disclosure, filing or notification under the Exchange Act or under Article L.621-18-2 of the French Monetary and Financial Code (</w:t>
      </w:r>
      <w:r>
        <w:rPr>
          <w:rFonts w:ascii="Times New Roman" w:cs="Times New Roman" w:eastAsia="Times New Roman" w:hAnsi="Times New Roman"/>
          <w:sz w:val="15"/>
          <w:szCs w:val="15"/>
          <w:i w:val="1"/>
          <w:iCs w:val="1"/>
          <w:color w:val="auto"/>
        </w:rPr>
        <w:t>Code monétaire et financier</w:t>
      </w:r>
      <w:r>
        <w:rPr>
          <w:rFonts w:ascii="Times New Roman" w:cs="Times New Roman" w:eastAsia="Times New Roman" w:hAnsi="Times New Roman"/>
          <w:sz w:val="15"/>
          <w:szCs w:val="15"/>
          <w:color w:val="auto"/>
        </w:rPr>
        <w:t>) or other applicable laws and regulations by any party to the transfer (donor, donee, transferor or transferee) shall be required, or made voluntarily, reporting a reduction in beneficial ownership of ADSs, Ordinary Shares or Related Securities in connection with such transfer.</w:t>
      </w:r>
    </w:p>
    <w:p>
      <w:pPr>
        <w:spacing w:after="0" w:line="14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5"/>
          <w:szCs w:val="15"/>
          <w:color w:val="auto"/>
        </w:rPr>
        <w:t>The undersigned also agrees and consents to the entry of stop transfer instructions with the Company’s transfer agent and registrar against the transfer of ADSs, Ordinary Shares and/or Related Securities held by the undersigned and the undersigned’s Family Members, if any, except in compliance with the foregoing restrictions.</w:t>
      </w:r>
    </w:p>
    <w:p>
      <w:pPr>
        <w:spacing w:after="0" w:line="13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5"/>
          <w:szCs w:val="15"/>
          <w:color w:val="auto"/>
        </w:rPr>
        <w:t>With respect to the Offering only, the undersigned waives any registration rights relating to registration under the Securities Act of the offer and sale of any ADSs, Ordinary Shares and/or any Related Securities owned either of record or beneficially by the undersigned, including any rights to receive notice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189865</wp:posOffset>
            </wp:positionV>
            <wp:extent cx="715518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55" w:name="page56"/>
    <w:bookmarkEnd w:id="55"/>
    <w:p>
      <w:pPr>
        <w:jc w:val="both"/>
        <w:spacing w:after="0" w:line="265" w:lineRule="auto"/>
        <w:rPr>
          <w:sz w:val="20"/>
          <w:szCs w:val="20"/>
          <w:color w:val="auto"/>
        </w:rPr>
      </w:pPr>
      <w:r>
        <w:rPr>
          <w:rFonts w:ascii="Times New Roman" w:cs="Times New Roman" w:eastAsia="Times New Roman" w:hAnsi="Times New Roman"/>
          <w:sz w:val="15"/>
          <w:szCs w:val="15"/>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Ordinary Shares and/or ADSs. The undersigned will not, and will cause any Family Member not to take, directly or indirectly, any such action.</w:t>
      </w:r>
    </w:p>
    <w:p>
      <w:pPr>
        <w:spacing w:after="0" w:line="14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w:t>
      </w:r>
    </w:p>
    <w:p>
      <w:pPr>
        <w:spacing w:after="0" w:line="1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1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letter agreement shall be governed by, and construed in accordance with, the laws of the State of New York.</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If (i) the Company notifies the Underwriters in writing that it does not intend to proceed with the Offering, (ii) the Underwriting Agreement is not executed before May 22, 2026, or (iii) the Underwriting Agreement (other than the provisions thereof that survive termination) terminates or is terminated prior to payment for and delivery of the shares in the Offering, then in each case, this letter agreement shall automatically, and without any action on the part of any other party, terminate and be of no further force and effect, and the undersigned shall automatically be released from its obligations under this letter agreement.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Signature Page Follows</w:t>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224155</wp:posOffset>
            </wp:positionV>
            <wp:extent cx="7155180"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b w:val="1"/>
          <w:bCs w:val="1"/>
          <w:color w:val="auto"/>
        </w:rPr>
        <w:t>If an individual, please sign here: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22225</wp:posOffset>
            </wp:positionV>
            <wp:extent cx="215138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1380" cy="1460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Print Name</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22225</wp:posOffset>
            </wp:positionV>
            <wp:extent cx="215138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1380" cy="1460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Print Address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22225</wp:posOffset>
            </wp:positionV>
            <wp:extent cx="215138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1380" cy="1460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a corporation, a limited partnership or other legal entity,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please sign here: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22225</wp:posOffset>
            </wp:positionV>
            <wp:extent cx="2151380"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1380" cy="1460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22225</wp:posOffset>
            </wp:positionV>
            <wp:extent cx="2151380"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1380" cy="1460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22225</wp:posOffset>
            </wp:positionV>
            <wp:extent cx="215138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1380" cy="1460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22225</wp:posOffset>
            </wp:positionV>
            <wp:extent cx="215138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1380" cy="1460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22225</wp:posOffset>
            </wp:positionV>
            <wp:extent cx="215138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1380" cy="1460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22225</wp:posOffset>
            </wp:positionV>
            <wp:extent cx="2151380"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1380" cy="146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243840</wp:posOffset>
            </wp:positionV>
            <wp:extent cx="715518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139"/>
          </w:cols>
          <w:pgMar w:left="320" w:top="301"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0"/>
          <w:szCs w:val="10"/>
          <w:b w:val="1"/>
          <w:bCs w:val="1"/>
          <w:color w:val="auto"/>
        </w:rPr>
        <w:t>nnex</w:t>
      </w:r>
      <w:r>
        <w:rPr>
          <w:rFonts w:ascii="Times New Roman" w:cs="Times New Roman" w:eastAsia="Times New Roman" w:hAnsi="Times New Roman"/>
          <w:sz w:val="15"/>
          <w:szCs w:val="15"/>
          <w:b w:val="1"/>
          <w:bCs w:val="1"/>
          <w:color w:val="auto"/>
        </w:rPr>
        <w:t xml:space="preserve"> 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w:t>
      </w:r>
      <w:r>
        <w:rPr>
          <w:rFonts w:ascii="Times New Roman" w:cs="Times New Roman" w:eastAsia="Times New Roman" w:hAnsi="Times New Roman"/>
          <w:sz w:val="10"/>
          <w:szCs w:val="10"/>
          <w:b w:val="1"/>
          <w:bCs w:val="1"/>
          <w:color w:val="auto"/>
        </w:rPr>
        <w:t>ertain</w:t>
      </w:r>
      <w:r>
        <w:rPr>
          <w:rFonts w:ascii="Times New Roman" w:cs="Times New Roman" w:eastAsia="Times New Roman" w:hAnsi="Times New Roman"/>
          <w:sz w:val="15"/>
          <w:szCs w:val="15"/>
          <w:b w:val="1"/>
          <w:bCs w:val="1"/>
          <w:color w:val="auto"/>
        </w:rPr>
        <w:t xml:space="preserve"> D</w:t>
      </w:r>
      <w:r>
        <w:rPr>
          <w:rFonts w:ascii="Times New Roman" w:cs="Times New Roman" w:eastAsia="Times New Roman" w:hAnsi="Times New Roman"/>
          <w:sz w:val="10"/>
          <w:szCs w:val="10"/>
          <w:b w:val="1"/>
          <w:bCs w:val="1"/>
          <w:color w:val="auto"/>
        </w:rPr>
        <w:t>efined</w:t>
      </w:r>
      <w:r>
        <w:rPr>
          <w:rFonts w:ascii="Times New Roman" w:cs="Times New Roman" w:eastAsia="Times New Roman" w:hAnsi="Times New Roman"/>
          <w:sz w:val="15"/>
          <w:szCs w:val="15"/>
          <w:b w:val="1"/>
          <w:bCs w:val="1"/>
          <w:color w:val="auto"/>
        </w:rPr>
        <w:t xml:space="preserve"> T</w:t>
      </w:r>
      <w:r>
        <w:rPr>
          <w:rFonts w:ascii="Times New Roman" w:cs="Times New Roman" w:eastAsia="Times New Roman" w:hAnsi="Times New Roman"/>
          <w:sz w:val="10"/>
          <w:szCs w:val="10"/>
          <w:b w:val="1"/>
          <w:bCs w:val="1"/>
          <w:color w:val="auto"/>
        </w:rPr>
        <w:t>erms</w:t>
      </w:r>
    </w:p>
    <w:p>
      <w:pPr>
        <w:spacing w:after="0" w:line="18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5"/>
          <w:szCs w:val="15"/>
          <w:b w:val="1"/>
          <w:bCs w:val="1"/>
          <w:color w:val="auto"/>
        </w:rPr>
        <w:t>U</w:t>
      </w:r>
      <w:r>
        <w:rPr>
          <w:rFonts w:ascii="Times New Roman" w:cs="Times New Roman" w:eastAsia="Times New Roman" w:hAnsi="Times New Roman"/>
          <w:sz w:val="10"/>
          <w:szCs w:val="10"/>
          <w:b w:val="1"/>
          <w:bCs w:val="1"/>
          <w:color w:val="auto"/>
        </w:rPr>
        <w:t>sed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5"/>
          <w:szCs w:val="15"/>
          <w:b w:val="1"/>
          <w:bCs w:val="1"/>
          <w:color w:val="auto"/>
        </w:rPr>
        <w:t xml:space="preserve"> L</w:t>
      </w:r>
      <w:r>
        <w:rPr>
          <w:rFonts w:ascii="Times New Roman" w:cs="Times New Roman" w:eastAsia="Times New Roman" w:hAnsi="Times New Roman"/>
          <w:sz w:val="10"/>
          <w:szCs w:val="10"/>
          <w:b w:val="1"/>
          <w:bCs w:val="1"/>
          <w:color w:val="auto"/>
        </w:rPr>
        <w:t>ock</w:t>
      </w:r>
      <w:r>
        <w:rPr>
          <w:rFonts w:ascii="Times New Roman" w:cs="Times New Roman" w:eastAsia="Times New Roman" w:hAnsi="Times New Roman"/>
          <w:sz w:val="15"/>
          <w:szCs w:val="15"/>
          <w:b w:val="1"/>
          <w:bCs w:val="1"/>
          <w:color w:val="auto"/>
        </w:rPr>
        <w:t>-U</w:t>
      </w:r>
      <w:r>
        <w:rPr>
          <w:rFonts w:ascii="Times New Roman" w:cs="Times New Roman" w:eastAsia="Times New Roman" w:hAnsi="Times New Roman"/>
          <w:sz w:val="10"/>
          <w:szCs w:val="10"/>
          <w:b w:val="1"/>
          <w:bCs w:val="1"/>
          <w:color w:val="auto"/>
        </w:rPr>
        <w:t>p</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0"/>
          <w:szCs w:val="10"/>
          <w:b w:val="1"/>
          <w:bCs w:val="1"/>
          <w:color w:val="auto"/>
        </w:rPr>
        <w:t>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purposes of the letter agreement to which this Annex A is attached and of which it is made a part:</w:t>
      </w:r>
    </w:p>
    <w:p>
      <w:pPr>
        <w:spacing w:after="0" w:line="184" w:lineRule="exact"/>
        <w:rPr>
          <w:sz w:val="20"/>
          <w:szCs w:val="20"/>
          <w:color w:val="auto"/>
        </w:rPr>
      </w:pPr>
    </w:p>
    <w:p>
      <w:pPr>
        <w:ind w:left="800" w:hanging="270"/>
        <w:spacing w:after="0"/>
        <w:tabs>
          <w:tab w:leader="none" w:pos="8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Call Equivalent Position</w:t>
      </w:r>
      <w:r>
        <w:rPr>
          <w:rFonts w:ascii="Times New Roman" w:cs="Times New Roman" w:eastAsia="Times New Roman" w:hAnsi="Times New Roman"/>
          <w:sz w:val="15"/>
          <w:szCs w:val="15"/>
          <w:color w:val="auto"/>
        </w:rPr>
        <w:t>” shall have the meaning set forth in Rule 16a-1(b) under the Exchange Act.</w:t>
      </w:r>
    </w:p>
    <w:p>
      <w:pPr>
        <w:spacing w:after="0" w:line="187" w:lineRule="exact"/>
        <w:rPr>
          <w:rFonts w:ascii="Times New Roman" w:cs="Times New Roman" w:eastAsia="Times New Roman" w:hAnsi="Times New Roman"/>
          <w:sz w:val="15"/>
          <w:szCs w:val="15"/>
          <w:color w:val="auto"/>
        </w:rPr>
      </w:pPr>
    </w:p>
    <w:p>
      <w:pPr>
        <w:ind w:left="800" w:hanging="270"/>
        <w:spacing w:after="0"/>
        <w:tabs>
          <w:tab w:leader="none" w:pos="8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shall mean the Securities Exchange Act of 1934, as amended.</w:t>
      </w:r>
    </w:p>
    <w:p>
      <w:pPr>
        <w:spacing w:after="0" w:line="187" w:lineRule="exact"/>
        <w:rPr>
          <w:rFonts w:ascii="Times New Roman" w:cs="Times New Roman" w:eastAsia="Times New Roman" w:hAnsi="Times New Roman"/>
          <w:sz w:val="15"/>
          <w:szCs w:val="15"/>
          <w:color w:val="auto"/>
        </w:rPr>
      </w:pPr>
    </w:p>
    <w:p>
      <w:pPr>
        <w:jc w:val="both"/>
        <w:ind w:left="800" w:hanging="270"/>
        <w:spacing w:after="0" w:line="262" w:lineRule="auto"/>
        <w:tabs>
          <w:tab w:leader="none" w:pos="8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Family Member</w:t>
      </w:r>
      <w:r>
        <w:rPr>
          <w:rFonts w:ascii="Times New Roman" w:cs="Times New Roman" w:eastAsia="Times New Roman" w:hAnsi="Times New Roman"/>
          <w:sz w:val="15"/>
          <w:szCs w:val="15"/>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 w:cs="Times New Roman" w:eastAsia="Times New Roman" w:hAnsi="Times New Roman"/>
          <w:sz w:val="15"/>
          <w:szCs w:val="15"/>
          <w:b w:val="1"/>
          <w:bCs w:val="1"/>
          <w:i w:val="1"/>
          <w:iCs w:val="1"/>
          <w:color w:val="auto"/>
        </w:rPr>
        <w:t>Immediate family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member</w:t>
      </w:r>
      <w:r>
        <w:rPr>
          <w:rFonts w:ascii="Times New Roman" w:cs="Times New Roman" w:eastAsia="Times New Roman" w:hAnsi="Times New Roman"/>
          <w:sz w:val="15"/>
          <w:szCs w:val="15"/>
          <w:color w:val="auto"/>
        </w:rPr>
        <w:t>” as used above shall have the meaning set forth in Rule 16a-1(e) under the Exchange Act.</w:t>
      </w:r>
    </w:p>
    <w:p>
      <w:pPr>
        <w:spacing w:after="0" w:line="147" w:lineRule="exact"/>
        <w:rPr>
          <w:rFonts w:ascii="Times New Roman" w:cs="Times New Roman" w:eastAsia="Times New Roman" w:hAnsi="Times New Roman"/>
          <w:sz w:val="15"/>
          <w:szCs w:val="15"/>
          <w:color w:val="auto"/>
        </w:rPr>
      </w:pPr>
    </w:p>
    <w:p>
      <w:pPr>
        <w:ind w:left="800" w:hanging="270"/>
        <w:spacing w:after="0" w:line="285" w:lineRule="auto"/>
        <w:tabs>
          <w:tab w:leader="none" w:pos="8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Lock-up Period</w:t>
      </w:r>
      <w:r>
        <w:rPr>
          <w:rFonts w:ascii="Times New Roman" w:cs="Times New Roman" w:eastAsia="Times New Roman" w:hAnsi="Times New Roman"/>
          <w:sz w:val="15"/>
          <w:szCs w:val="15"/>
          <w:color w:val="auto"/>
        </w:rPr>
        <w:t>” shall mean the period beginning on the date hereof and continuing through the close of trading on the date that is 90 days after the date of the final prospectus supplement for the Offering.</w:t>
      </w:r>
    </w:p>
    <w:p>
      <w:pPr>
        <w:spacing w:after="0" w:line="130" w:lineRule="exact"/>
        <w:rPr>
          <w:rFonts w:ascii="Times New Roman" w:cs="Times New Roman" w:eastAsia="Times New Roman" w:hAnsi="Times New Roman"/>
          <w:sz w:val="15"/>
          <w:szCs w:val="15"/>
          <w:color w:val="auto"/>
        </w:rPr>
      </w:pPr>
    </w:p>
    <w:p>
      <w:pPr>
        <w:ind w:left="800" w:hanging="270"/>
        <w:spacing w:after="0"/>
        <w:tabs>
          <w:tab w:leader="none" w:pos="8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Put Equivalent Position</w:t>
      </w:r>
      <w:r>
        <w:rPr>
          <w:rFonts w:ascii="Times New Roman" w:cs="Times New Roman" w:eastAsia="Times New Roman" w:hAnsi="Times New Roman"/>
          <w:sz w:val="15"/>
          <w:szCs w:val="15"/>
          <w:color w:val="auto"/>
        </w:rPr>
        <w:t>” shall have the meaning set forth in Rule 16a-1(h) under the Exchange Act.</w:t>
      </w:r>
    </w:p>
    <w:p>
      <w:pPr>
        <w:spacing w:after="0" w:line="187" w:lineRule="exact"/>
        <w:rPr>
          <w:rFonts w:ascii="Times New Roman" w:cs="Times New Roman" w:eastAsia="Times New Roman" w:hAnsi="Times New Roman"/>
          <w:sz w:val="15"/>
          <w:szCs w:val="15"/>
          <w:color w:val="auto"/>
        </w:rPr>
      </w:pPr>
    </w:p>
    <w:p>
      <w:pPr>
        <w:jc w:val="both"/>
        <w:ind w:left="800" w:hanging="270"/>
        <w:spacing w:after="0" w:line="262" w:lineRule="auto"/>
        <w:tabs>
          <w:tab w:leader="none" w:pos="8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Related Securities</w:t>
      </w:r>
      <w:r>
        <w:rPr>
          <w:rFonts w:ascii="Times New Roman" w:cs="Times New Roman" w:eastAsia="Times New Roman" w:hAnsi="Times New Roman"/>
          <w:sz w:val="15"/>
          <w:szCs w:val="15"/>
          <w:color w:val="auto"/>
        </w:rPr>
        <w:t>” shall mean any stock options (</w:t>
      </w:r>
      <w:r>
        <w:rPr>
          <w:rFonts w:ascii="Times New Roman" w:cs="Times New Roman" w:eastAsia="Times New Roman" w:hAnsi="Times New Roman"/>
          <w:sz w:val="15"/>
          <w:szCs w:val="15"/>
          <w:i w:val="1"/>
          <w:iCs w:val="1"/>
          <w:color w:val="auto"/>
        </w:rPr>
        <w:t>options de souscription ou d’achat d’actions</w:t>
      </w:r>
      <w:r>
        <w:rPr>
          <w:rFonts w:ascii="Times New Roman" w:cs="Times New Roman" w:eastAsia="Times New Roman" w:hAnsi="Times New Roman"/>
          <w:sz w:val="15"/>
          <w:szCs w:val="15"/>
          <w:color w:val="auto"/>
        </w:rPr>
        <w:t>), warrants (</w:t>
      </w:r>
      <w:r>
        <w:rPr>
          <w:rFonts w:ascii="Times New Roman" w:cs="Times New Roman" w:eastAsia="Times New Roman" w:hAnsi="Times New Roman"/>
          <w:sz w:val="15"/>
          <w:szCs w:val="15"/>
          <w:i w:val="1"/>
          <w:iCs w:val="1"/>
          <w:color w:val="auto"/>
        </w:rPr>
        <w:t>bons de souscription d’actions</w:t>
      </w:r>
      <w:r>
        <w:rPr>
          <w:rFonts w:ascii="Times New Roman" w:cs="Times New Roman" w:eastAsia="Times New Roman" w:hAnsi="Times New Roman"/>
          <w:sz w:val="15"/>
          <w:szCs w:val="15"/>
          <w:color w:val="auto"/>
        </w:rPr>
        <w:t>), founders’ warrants (</w:t>
      </w:r>
      <w:r>
        <w:rPr>
          <w:rFonts w:ascii="Times New Roman" w:cs="Times New Roman" w:eastAsia="Times New Roman" w:hAnsi="Times New Roman"/>
          <w:sz w:val="15"/>
          <w:szCs w:val="15"/>
          <w:i w:val="1"/>
          <w:iCs w:val="1"/>
          <w:color w:val="auto"/>
        </w:rPr>
        <w:t>bons de souscription de parts de créateur d’entreprise</w:t>
      </w:r>
      <w:r>
        <w:rPr>
          <w:rFonts w:ascii="Times New Roman" w:cs="Times New Roman" w:eastAsia="Times New Roman" w:hAnsi="Times New Roman"/>
          <w:sz w:val="15"/>
          <w:szCs w:val="15"/>
          <w:color w:val="auto"/>
        </w:rPr>
        <w:t>), free shares (</w:t>
      </w:r>
      <w:r>
        <w:rPr>
          <w:rFonts w:ascii="Times New Roman" w:cs="Times New Roman" w:eastAsia="Times New Roman" w:hAnsi="Times New Roman"/>
          <w:sz w:val="15"/>
          <w:szCs w:val="15"/>
          <w:i w:val="1"/>
          <w:iCs w:val="1"/>
          <w:color w:val="auto"/>
        </w:rPr>
        <w:t>actions gratuites</w:t>
      </w:r>
      <w:r>
        <w:rPr>
          <w:rFonts w:ascii="Times New Roman" w:cs="Times New Roman" w:eastAsia="Times New Roman" w:hAnsi="Times New Roman"/>
          <w:sz w:val="15"/>
          <w:szCs w:val="15"/>
          <w:color w:val="auto"/>
        </w:rPr>
        <w:t>) or other rights to acquire ADSs or Ordinary Shares or any securities exchangeable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exercisable for or convertible into ADSs or Ordinary Shares, or to acquire other securities or rights ultimately exchangeable or exercisable for or convertible into ADSs or Ordinary Shares.</w:t>
      </w:r>
    </w:p>
    <w:p>
      <w:pPr>
        <w:spacing w:after="0" w:line="147" w:lineRule="exact"/>
        <w:rPr>
          <w:rFonts w:ascii="Times New Roman" w:cs="Times New Roman" w:eastAsia="Times New Roman" w:hAnsi="Times New Roman"/>
          <w:sz w:val="15"/>
          <w:szCs w:val="15"/>
          <w:color w:val="auto"/>
        </w:rPr>
      </w:pPr>
    </w:p>
    <w:p>
      <w:pPr>
        <w:ind w:left="800" w:hanging="270"/>
        <w:spacing w:after="0"/>
        <w:tabs>
          <w:tab w:leader="none" w:pos="8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shall mean the Securities Act of 1933, as amended.</w:t>
      </w:r>
    </w:p>
    <w:p>
      <w:pPr>
        <w:spacing w:after="0" w:line="187" w:lineRule="exact"/>
        <w:rPr>
          <w:rFonts w:ascii="Times New Roman" w:cs="Times New Roman" w:eastAsia="Times New Roman" w:hAnsi="Times New Roman"/>
          <w:sz w:val="15"/>
          <w:szCs w:val="15"/>
          <w:color w:val="auto"/>
        </w:rPr>
      </w:pPr>
    </w:p>
    <w:p>
      <w:pPr>
        <w:ind w:left="800" w:hanging="270"/>
        <w:spacing w:after="0"/>
        <w:tabs>
          <w:tab w:leader="none" w:pos="8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Sell or Offer to Sell</w:t>
      </w:r>
      <w:r>
        <w:rPr>
          <w:rFonts w:ascii="Times New Roman" w:cs="Times New Roman" w:eastAsia="Times New Roman" w:hAnsi="Times New Roman"/>
          <w:sz w:val="15"/>
          <w:szCs w:val="15"/>
          <w:color w:val="auto"/>
        </w:rPr>
        <w:t>” shall mean to:</w:t>
      </w:r>
    </w:p>
    <w:p>
      <w:pPr>
        <w:spacing w:after="0" w:line="191" w:lineRule="exact"/>
        <w:rPr>
          <w:rFonts w:ascii="Times New Roman" w:cs="Times New Roman" w:eastAsia="Times New Roman" w:hAnsi="Times New Roman"/>
          <w:sz w:val="15"/>
          <w:szCs w:val="15"/>
          <w:color w:val="auto"/>
        </w:rPr>
      </w:pPr>
    </w:p>
    <w:p>
      <w:pPr>
        <w:ind w:left="1080" w:hanging="279"/>
        <w:spacing w:after="0"/>
        <w:tabs>
          <w:tab w:leader="none" w:pos="1080"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offer to sell, contract to sell or lend,</w:t>
      </w:r>
    </w:p>
    <w:p>
      <w:pPr>
        <w:spacing w:after="0" w:line="187" w:lineRule="exact"/>
        <w:rPr>
          <w:rFonts w:ascii="Times New Roman" w:cs="Times New Roman" w:eastAsia="Times New Roman" w:hAnsi="Times New Roman"/>
          <w:sz w:val="15"/>
          <w:szCs w:val="15"/>
          <w:color w:val="auto"/>
        </w:rPr>
      </w:pPr>
    </w:p>
    <w:p>
      <w:pPr>
        <w:ind w:left="1080" w:hanging="279"/>
        <w:spacing w:after="0"/>
        <w:tabs>
          <w:tab w:leader="none" w:pos="1080"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 any short sale or establish or increase a Put Equivalent Position or liquidate or decrease any Call Equivalent Position,</w:t>
      </w:r>
    </w:p>
    <w:p>
      <w:pPr>
        <w:spacing w:after="0" w:line="187" w:lineRule="exact"/>
        <w:rPr>
          <w:rFonts w:ascii="Times New Roman" w:cs="Times New Roman" w:eastAsia="Times New Roman" w:hAnsi="Times New Roman"/>
          <w:sz w:val="15"/>
          <w:szCs w:val="15"/>
          <w:color w:val="auto"/>
        </w:rPr>
      </w:pPr>
    </w:p>
    <w:p>
      <w:pPr>
        <w:ind w:left="1080" w:hanging="279"/>
        <w:spacing w:after="0"/>
        <w:tabs>
          <w:tab w:leader="none" w:pos="1080"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pledge, hypothecate or grant any security interest in, or</w:t>
      </w:r>
    </w:p>
    <w:p>
      <w:pPr>
        <w:spacing w:after="0" w:line="187" w:lineRule="exact"/>
        <w:rPr>
          <w:rFonts w:ascii="Times New Roman" w:cs="Times New Roman" w:eastAsia="Times New Roman" w:hAnsi="Times New Roman"/>
          <w:sz w:val="15"/>
          <w:szCs w:val="15"/>
          <w:color w:val="auto"/>
        </w:rPr>
      </w:pPr>
    </w:p>
    <w:p>
      <w:pPr>
        <w:ind w:left="1080" w:hanging="279"/>
        <w:spacing w:after="0"/>
        <w:tabs>
          <w:tab w:leader="none" w:pos="1080"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way transfer or dispose of,</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in each case whether effected directly or indirectly.</w:t>
      </w:r>
    </w:p>
    <w:p>
      <w:pPr>
        <w:spacing w:after="0" w:line="184" w:lineRule="exact"/>
        <w:rPr>
          <w:sz w:val="20"/>
          <w:szCs w:val="20"/>
          <w:color w:val="auto"/>
        </w:rPr>
      </w:pPr>
    </w:p>
    <w:p>
      <w:pPr>
        <w:ind w:left="800" w:hanging="270"/>
        <w:spacing w:after="0" w:line="285" w:lineRule="auto"/>
        <w:tabs>
          <w:tab w:leader="none" w:pos="8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Swap</w:t>
      </w:r>
      <w:r>
        <w:rPr>
          <w:rFonts w:ascii="Times New Roman" w:cs="Times New Roman" w:eastAsia="Times New Roman" w:hAnsi="Times New Roman"/>
          <w:sz w:val="15"/>
          <w:szCs w:val="15"/>
          <w:color w:val="auto"/>
        </w:rPr>
        <w:t>” shall mean any swap, hedge or similar arrangement or agreement that transfers, in whole or in part, the economic risk of ownership of ADSs, Ordinary Shares or Related Securities, regardless of whether any such transaction is to be settled in securities, in cash or otherwise.</w:t>
      </w:r>
    </w:p>
    <w:p>
      <w:pPr>
        <w:spacing w:after="0" w:line="130" w:lineRule="exact"/>
        <w:rPr>
          <w:rFonts w:ascii="Times New Roman" w:cs="Times New Roman" w:eastAsia="Times New Roman" w:hAnsi="Times New Roman"/>
          <w:sz w:val="15"/>
          <w:szCs w:val="15"/>
          <w:color w:val="auto"/>
        </w:rPr>
      </w:pPr>
    </w:p>
    <w:p>
      <w:pPr>
        <w:ind w:left="800" w:hanging="270"/>
        <w:spacing w:after="0"/>
        <w:tabs>
          <w:tab w:leader="none" w:pos="8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Underwriters</w:t>
      </w:r>
      <w:r>
        <w:rPr>
          <w:rFonts w:ascii="Times New Roman" w:cs="Times New Roman" w:eastAsia="Times New Roman" w:hAnsi="Times New Roman"/>
          <w:sz w:val="15"/>
          <w:szCs w:val="15"/>
          <w:color w:val="auto"/>
        </w:rPr>
        <w:t>” shall mean the underwriters identified in Schedule I to the Underwriting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Capitalized terms not defined in this Annex A shall have the meanings given to them in the body of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221615</wp:posOffset>
            </wp:positionV>
            <wp:extent cx="715518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5"/>
          <w:szCs w:val="15"/>
          <w:b w:val="1"/>
          <w:bCs w:val="1"/>
          <w:color w:val="auto"/>
        </w:rPr>
        <w:t>Exhibit B</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Members of the Executive and Supervisory Boards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Signing Lock-up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Executive Board Members: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Laurent Levy, Ph.D.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Bart Van Rhijn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Anne-Juliette Hermant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Louis Kayitalire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Supervisory Board Members: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Gary Phillips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Alain Herrera, M.D.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Anne-Marie Graffin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Enno Spillner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Margaret Liu, M.D.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Anat Naschitz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212725</wp:posOffset>
            </wp:positionV>
            <wp:extent cx="715518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5"/>
          <w:szCs w:val="15"/>
          <w:b w:val="1"/>
          <w:bCs w:val="1"/>
          <w:color w:val="auto"/>
        </w:rPr>
        <w:t>Exhibit 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THESE TERMS AND CONDITIONS DO NOT CONSTITUTE A CERTIFICATE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REPRESENTING THE PRE-FUNDED WARRANTS. IN ACCORDANCE WITH</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FRENCH LAW, THE PRE-FUNDED WARRANTS ARE FULLY DEMATERIALIZED.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TERMS AND CONDITIONS OF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PRE-FUNDED WARRANTS (MAY 2026-2036)</w:t>
      </w:r>
    </w:p>
    <w:p>
      <w:pPr>
        <w:spacing w:after="0" w:line="17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5"/>
          <w:szCs w:val="15"/>
          <w:b w:val="1"/>
          <w:bCs w:val="1"/>
          <w:color w:val="auto"/>
        </w:rPr>
        <w:t>Nanobiotix S.A.</w:t>
      </w:r>
      <w:r>
        <w:rPr>
          <w:rFonts w:ascii="Times New Roman" w:cs="Times New Roman" w:eastAsia="Times New Roman" w:hAnsi="Times New Roman"/>
          <w:sz w:val="15"/>
          <w:szCs w:val="15"/>
          <w:color w:val="auto"/>
        </w:rPr>
        <w:t>,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société anonyme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incorporated under the laws of France and registered with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Registre du Commerce et des Sociétés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Paris under number 447 521 600, with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registered capital of € 1,455,528.90 and having its registered office at 60, rue de Wattignies – 75012 Paris, France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hereby issues by decision of the Executive Board (</w:t>
      </w:r>
      <w:r>
        <w:rPr>
          <w:rFonts w:ascii="Times New Roman" w:cs="Times New Roman" w:eastAsia="Times New Roman" w:hAnsi="Times New Roman"/>
          <w:sz w:val="15"/>
          <w:szCs w:val="15"/>
          <w:i w:val="1"/>
          <w:iCs w:val="1"/>
          <w:color w:val="auto"/>
        </w:rPr>
        <w:t>directoire)</w:t>
      </w:r>
      <w:r>
        <w:rPr>
          <w:rFonts w:ascii="Times New Roman" w:cs="Times New Roman" w:eastAsia="Times New Roman" w:hAnsi="Times New Roman"/>
          <w:sz w:val="15"/>
          <w:szCs w:val="15"/>
          <w:color w:val="auto"/>
        </w:rPr>
        <w:t>, acting with the approval the Supervisory Board (</w:t>
      </w:r>
      <w:r>
        <w:rPr>
          <w:rFonts w:ascii="Times New Roman" w:cs="Times New Roman" w:eastAsia="Times New Roman" w:hAnsi="Times New Roman"/>
          <w:sz w:val="15"/>
          <w:szCs w:val="15"/>
          <w:i w:val="1"/>
          <w:iCs w:val="1"/>
          <w:color w:val="auto"/>
        </w:rPr>
        <w:t>conseil de surveillance</w:t>
      </w:r>
      <w:r>
        <w:rPr>
          <w:rFonts w:ascii="Times New Roman" w:cs="Times New Roman" w:eastAsia="Times New Roman" w:hAnsi="Times New Roman"/>
          <w:sz w:val="15"/>
          <w:szCs w:val="15"/>
          <w:color w:val="auto"/>
        </w:rPr>
        <w:t>) pursuant to the powers delegated to the Executive Board by the Company’s shareholders at the general meeting held on May 19, 2025, in its 29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resolution and in accordance with the terms thereof (the “</w:t>
      </w:r>
      <w:r>
        <w:rPr>
          <w:rFonts w:ascii="Times New Roman" w:cs="Times New Roman" w:eastAsia="Times New Roman" w:hAnsi="Times New Roman"/>
          <w:sz w:val="15"/>
          <w:szCs w:val="15"/>
          <w:b w:val="1"/>
          <w:bCs w:val="1"/>
          <w:color w:val="auto"/>
        </w:rPr>
        <w:t>Terms and Conditions</w:t>
      </w:r>
      <w:r>
        <w:rPr>
          <w:rFonts w:ascii="Times New Roman" w:cs="Times New Roman" w:eastAsia="Times New Roman" w:hAnsi="Times New Roman"/>
          <w:sz w:val="15"/>
          <w:szCs w:val="15"/>
          <w:color w:val="auto"/>
        </w:rPr>
        <w:t>”), to the subscriber of pre-funded warrants, on the Issue Date, an aggregate of 345,099 equity warrants (</w:t>
      </w:r>
      <w:r>
        <w:rPr>
          <w:rFonts w:ascii="Times New Roman" w:cs="Times New Roman" w:eastAsia="Times New Roman" w:hAnsi="Times New Roman"/>
          <w:sz w:val="15"/>
          <w:szCs w:val="15"/>
          <w:i w:val="1"/>
          <w:iCs w:val="1"/>
          <w:color w:val="auto"/>
        </w:rPr>
        <w:t>bons de souscription d’actions</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b w:val="1"/>
          <w:bCs w:val="1"/>
          <w:color w:val="auto"/>
        </w:rPr>
        <w:t>Pre-Funded Warrants (May 2026-2036)</w:t>
      </w:r>
      <w:r>
        <w:rPr>
          <w:rFonts w:ascii="Times New Roman" w:cs="Times New Roman" w:eastAsia="Times New Roman" w:hAnsi="Times New Roman"/>
          <w:sz w:val="15"/>
          <w:szCs w:val="15"/>
          <w:color w:val="auto"/>
        </w:rPr>
        <w:t>” or the “</w:t>
      </w:r>
      <w:r>
        <w:rPr>
          <w:rFonts w:ascii="Times New Roman" w:cs="Times New Roman" w:eastAsia="Times New Roman" w:hAnsi="Times New Roman"/>
          <w:sz w:val="15"/>
          <w:szCs w:val="15"/>
          <w:b w:val="1"/>
          <w:bCs w:val="1"/>
          <w:color w:val="auto"/>
        </w:rPr>
        <w:t>Warrants</w:t>
      </w:r>
      <w:r>
        <w:rPr>
          <w:rFonts w:ascii="Times New Roman" w:cs="Times New Roman" w:eastAsia="Times New Roman" w:hAnsi="Times New Roman"/>
          <w:sz w:val="15"/>
          <w:szCs w:val="15"/>
          <w:color w:val="auto"/>
        </w:rPr>
        <w:t>”) to subscribe for ordinary shares of, as at the Issue Date, €0.03 each in the share capital of the Company (each, a “</w:t>
      </w:r>
      <w:r>
        <w:rPr>
          <w:rFonts w:ascii="Times New Roman" w:cs="Times New Roman" w:eastAsia="Times New Roman" w:hAnsi="Times New Roman"/>
          <w:sz w:val="15"/>
          <w:szCs w:val="15"/>
          <w:b w:val="1"/>
          <w:bCs w:val="1"/>
          <w:color w:val="auto"/>
        </w:rPr>
        <w:t>Share</w:t>
      </w:r>
      <w:r>
        <w:rPr>
          <w:rFonts w:ascii="Times New Roman" w:cs="Times New Roman" w:eastAsia="Times New Roman" w:hAnsi="Times New Roman"/>
          <w:sz w:val="15"/>
          <w:szCs w:val="15"/>
          <w:color w:val="auto"/>
        </w:rPr>
        <w:t>”, and any Share to be so subscribed for upon any exercise of a Warrant, a “</w:t>
      </w:r>
      <w:r>
        <w:rPr>
          <w:rFonts w:ascii="Times New Roman" w:cs="Times New Roman" w:eastAsia="Times New Roman" w:hAnsi="Times New Roman"/>
          <w:sz w:val="15"/>
          <w:szCs w:val="15"/>
          <w:b w:val="1"/>
          <w:bCs w:val="1"/>
          <w:color w:val="auto"/>
        </w:rPr>
        <w:t>Warrant Share</w:t>
      </w:r>
      <w:r>
        <w:rPr>
          <w:rFonts w:ascii="Times New Roman" w:cs="Times New Roman" w:eastAsia="Times New Roman" w:hAnsi="Times New Roman"/>
          <w:sz w:val="15"/>
          <w:szCs w:val="15"/>
          <w:color w:val="auto"/>
        </w:rPr>
        <w:t>”) on the terms set forth herein. Each Warrant is exercisable at the sole discretion of the Holder, initially for one Share (subject to adjustment from time to time as provided in these Terms and Conditions, the “</w:t>
      </w:r>
      <w:r>
        <w:rPr>
          <w:rFonts w:ascii="Times New Roman" w:cs="Times New Roman" w:eastAsia="Times New Roman" w:hAnsi="Times New Roman"/>
          <w:sz w:val="15"/>
          <w:szCs w:val="15"/>
          <w:b w:val="1"/>
          <w:bCs w:val="1"/>
          <w:color w:val="auto"/>
        </w:rPr>
        <w:t>Exercise Ratio</w:t>
      </w:r>
      <w:r>
        <w:rPr>
          <w:rFonts w:ascii="Times New Roman" w:cs="Times New Roman" w:eastAsia="Times New Roman" w:hAnsi="Times New Roman"/>
          <w:sz w:val="15"/>
          <w:szCs w:val="15"/>
          <w:color w:val="auto"/>
        </w:rPr>
        <w:t>”) at such exercise price per Warrant as was pre-funded to the Company on or prior to the Issue Date (except for a portion of the exercise price of Euro 0.03 per Warrant (the “</w:t>
      </w:r>
      <w:r>
        <w:rPr>
          <w:rFonts w:ascii="Times New Roman" w:cs="Times New Roman" w:eastAsia="Times New Roman" w:hAnsi="Times New Roman"/>
          <w:sz w:val="15"/>
          <w:szCs w:val="15"/>
          <w:b w:val="1"/>
          <w:bCs w:val="1"/>
          <w:color w:val="auto"/>
        </w:rPr>
        <w:t>Exercise Price</w:t>
      </w:r>
      <w:r>
        <w:rPr>
          <w:rFonts w:ascii="Times New Roman" w:cs="Times New Roman" w:eastAsia="Times New Roman" w:hAnsi="Times New Roman"/>
          <w:sz w:val="15"/>
          <w:szCs w:val="15"/>
          <w:color w:val="auto"/>
        </w:rPr>
        <w:t>”), which is payable upon exercise thereof). The Warrants will not be admitted to the operations of any clearing system. The Warrants will not be admitted to listing or trading on any stock exchange or other securities market.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Interpretation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purposes of these Terms and Conditions, unless the context otherwise requires, the following words shall have the meaning set out opposite them:</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00" w:type="dxa"/>
            <w:vAlign w:val="bottom"/>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ADS</w:t>
            </w:r>
            <w:r>
              <w:rPr>
                <w:rFonts w:ascii="Times New Roman" w:cs="Times New Roman" w:eastAsia="Times New Roman" w:hAnsi="Times New Roman"/>
                <w:sz w:val="15"/>
                <w:szCs w:val="15"/>
                <w:color w:val="auto"/>
              </w:rPr>
              <w:t>”</w:t>
            </w:r>
          </w:p>
        </w:tc>
        <w:tc>
          <w:tcPr>
            <w:tcW w:w="89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means American Depositary Shares</w:t>
            </w:r>
            <w:r>
              <w:rPr>
                <w:rFonts w:ascii="Times New Roman" w:cs="Times New Roman" w:eastAsia="Times New Roman" w:hAnsi="Times New Roman"/>
                <w:sz w:val="15"/>
                <w:szCs w:val="15"/>
                <w:color w:val="231F20"/>
              </w:rPr>
              <w:t>, each ADS</w:t>
            </w:r>
            <w:r>
              <w:rPr>
                <w:rFonts w:ascii="Times New Roman" w:cs="Times New Roman" w:eastAsia="Times New Roman" w:hAnsi="Times New Roman"/>
                <w:sz w:val="15"/>
                <w:szCs w:val="15"/>
                <w:color w:val="auto"/>
              </w:rPr>
              <w:t xml:space="preserve"> representing </w:t>
            </w:r>
            <w:r>
              <w:rPr>
                <w:rFonts w:ascii="Times New Roman" w:cs="Times New Roman" w:eastAsia="Times New Roman" w:hAnsi="Times New Roman"/>
                <w:sz w:val="15"/>
                <w:szCs w:val="15"/>
                <w:color w:val="231F20"/>
              </w:rPr>
              <w:t>the right to receive</w:t>
            </w:r>
            <w:r>
              <w:rPr>
                <w:rFonts w:ascii="Times New Roman" w:cs="Times New Roman" w:eastAsia="Times New Roman" w:hAnsi="Times New Roman"/>
                <w:sz w:val="15"/>
                <w:szCs w:val="15"/>
                <w:color w:val="auto"/>
              </w:rPr>
              <w:t>, as at the Issue Date, one Share ;</w:t>
            </w:r>
          </w:p>
        </w:tc>
      </w:tr>
      <w:tr>
        <w:trPr>
          <w:trHeight w:val="347"/>
        </w:trPr>
        <w:tc>
          <w:tcPr>
            <w:tcW w:w="2300" w:type="dxa"/>
            <w:vAlign w:val="bottom"/>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w:t>
            </w:r>
          </w:p>
        </w:tc>
        <w:tc>
          <w:tcPr>
            <w:tcW w:w="89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means any Person that, directly or indirectly through one or more intermediaries, controls or is controlled by or is under common control</w:t>
            </w:r>
          </w:p>
        </w:tc>
      </w:tr>
      <w:tr>
        <w:trPr>
          <w:trHeight w:val="180"/>
        </w:trPr>
        <w:tc>
          <w:tcPr>
            <w:tcW w:w="2300" w:type="dxa"/>
            <w:vAlign w:val="bottom"/>
          </w:tcPr>
          <w:p>
            <w:pPr>
              <w:spacing w:after="0"/>
              <w:rPr>
                <w:sz w:val="15"/>
                <w:szCs w:val="15"/>
                <w:color w:val="auto"/>
              </w:rPr>
            </w:pPr>
          </w:p>
        </w:tc>
        <w:tc>
          <w:tcPr>
            <w:tcW w:w="89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with a Person as such terms are used in and construed under Rule 405 under the Securities Act or, in respect of any control governed by</w:t>
            </w:r>
          </w:p>
        </w:tc>
      </w:tr>
      <w:tr>
        <w:trPr>
          <w:trHeight w:val="194"/>
        </w:trPr>
        <w:tc>
          <w:tcPr>
            <w:tcW w:w="2300" w:type="dxa"/>
            <w:vAlign w:val="bottom"/>
          </w:tcPr>
          <w:p>
            <w:pPr>
              <w:spacing w:after="0"/>
              <w:rPr>
                <w:sz w:val="16"/>
                <w:szCs w:val="16"/>
                <w:color w:val="auto"/>
              </w:rPr>
            </w:pPr>
          </w:p>
        </w:tc>
        <w:tc>
          <w:tcPr>
            <w:tcW w:w="89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French law, under article L.233-3 of the French Commercial Code ;</w:t>
            </w:r>
          </w:p>
        </w:tc>
      </w:tr>
      <w:tr>
        <w:trPr>
          <w:trHeight w:val="360"/>
        </w:trPr>
        <w:tc>
          <w:tcPr>
            <w:tcW w:w="2300" w:type="dxa"/>
            <w:vAlign w:val="bottom"/>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Aggregate Exercise Price</w:t>
            </w:r>
            <w:r>
              <w:rPr>
                <w:rFonts w:ascii="Times New Roman" w:cs="Times New Roman" w:eastAsia="Times New Roman" w:hAnsi="Times New Roman"/>
                <w:sz w:val="15"/>
                <w:szCs w:val="15"/>
                <w:color w:val="auto"/>
              </w:rPr>
              <w:t>”</w:t>
            </w:r>
          </w:p>
        </w:tc>
        <w:tc>
          <w:tcPr>
            <w:tcW w:w="89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has the meaning given in Section 2(c);</w:t>
            </w:r>
          </w:p>
        </w:tc>
      </w:tr>
      <w:tr>
        <w:trPr>
          <w:trHeight w:val="347"/>
        </w:trPr>
        <w:tc>
          <w:tcPr>
            <w:tcW w:w="2300" w:type="dxa"/>
            <w:vAlign w:val="bottom"/>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Attribution Parties</w:t>
            </w:r>
            <w:r>
              <w:rPr>
                <w:rFonts w:ascii="Times New Roman" w:cs="Times New Roman" w:eastAsia="Times New Roman" w:hAnsi="Times New Roman"/>
                <w:sz w:val="15"/>
                <w:szCs w:val="15"/>
                <w:color w:val="auto"/>
              </w:rPr>
              <w:t>”</w:t>
            </w:r>
          </w:p>
        </w:tc>
        <w:tc>
          <w:tcPr>
            <w:tcW w:w="89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means, collectively, the following Persons and entities: (i) any investment vehicle, including, any funds, feeder funds or managed</w:t>
            </w:r>
          </w:p>
        </w:tc>
      </w:tr>
      <w:tr>
        <w:trPr>
          <w:trHeight w:val="180"/>
        </w:trPr>
        <w:tc>
          <w:tcPr>
            <w:tcW w:w="2300" w:type="dxa"/>
            <w:vAlign w:val="bottom"/>
          </w:tcPr>
          <w:p>
            <w:pPr>
              <w:spacing w:after="0"/>
              <w:rPr>
                <w:sz w:val="15"/>
                <w:szCs w:val="15"/>
                <w:color w:val="auto"/>
              </w:rPr>
            </w:pPr>
          </w:p>
        </w:tc>
        <w:tc>
          <w:tcPr>
            <w:tcW w:w="89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accounts, currently, or from time to time after the Issue Date, directly or indirectly managed or advised by the Holder’s investment</w:t>
            </w:r>
          </w:p>
        </w:tc>
      </w:tr>
      <w:tr>
        <w:trPr>
          <w:trHeight w:val="180"/>
        </w:trPr>
        <w:tc>
          <w:tcPr>
            <w:tcW w:w="2300" w:type="dxa"/>
            <w:vAlign w:val="bottom"/>
          </w:tcPr>
          <w:p>
            <w:pPr>
              <w:spacing w:after="0"/>
              <w:rPr>
                <w:sz w:val="15"/>
                <w:szCs w:val="15"/>
                <w:color w:val="auto"/>
              </w:rPr>
            </w:pPr>
          </w:p>
        </w:tc>
        <w:tc>
          <w:tcPr>
            <w:tcW w:w="89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manager or any of its Affiliates or principals, (ii) any direct or indirect Affiliates of the Holder or any of the foregoing, (iii) any Person</w:t>
            </w:r>
          </w:p>
        </w:tc>
      </w:tr>
      <w:tr>
        <w:trPr>
          <w:trHeight w:val="180"/>
        </w:trPr>
        <w:tc>
          <w:tcPr>
            <w:tcW w:w="2300" w:type="dxa"/>
            <w:vAlign w:val="bottom"/>
          </w:tcPr>
          <w:p>
            <w:pPr>
              <w:spacing w:after="0"/>
              <w:rPr>
                <w:sz w:val="15"/>
                <w:szCs w:val="15"/>
                <w:color w:val="auto"/>
              </w:rPr>
            </w:pPr>
          </w:p>
        </w:tc>
        <w:tc>
          <w:tcPr>
            <w:tcW w:w="89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acting or who could be deemed to be acting as a Group together with the Holder or any of the foregoing and (iv) any other Persons whose</w:t>
            </w:r>
          </w:p>
        </w:tc>
      </w:tr>
      <w:tr>
        <w:trPr>
          <w:trHeight w:val="180"/>
        </w:trPr>
        <w:tc>
          <w:tcPr>
            <w:tcW w:w="2300" w:type="dxa"/>
            <w:vAlign w:val="bottom"/>
          </w:tcPr>
          <w:p>
            <w:pPr>
              <w:spacing w:after="0"/>
              <w:rPr>
                <w:sz w:val="15"/>
                <w:szCs w:val="15"/>
                <w:color w:val="auto"/>
              </w:rPr>
            </w:pPr>
          </w:p>
        </w:tc>
        <w:tc>
          <w:tcPr>
            <w:tcW w:w="89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beneficial ownership of Shares would or could be aggregated with the Holder’s and the other Attribution Parties for purposes of Section</w:t>
            </w:r>
          </w:p>
        </w:tc>
      </w:tr>
      <w:tr>
        <w:trPr>
          <w:trHeight w:val="180"/>
        </w:trPr>
        <w:tc>
          <w:tcPr>
            <w:tcW w:w="2300" w:type="dxa"/>
            <w:vAlign w:val="bottom"/>
          </w:tcPr>
          <w:p>
            <w:pPr>
              <w:spacing w:after="0"/>
              <w:rPr>
                <w:sz w:val="15"/>
                <w:szCs w:val="15"/>
                <w:color w:val="auto"/>
              </w:rPr>
            </w:pPr>
          </w:p>
        </w:tc>
        <w:tc>
          <w:tcPr>
            <w:tcW w:w="89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13(d) or Section 16 of the Exchange Act; or, with respect to the French FDI Regime, as defined therein. For clarity, the purpose of the</w:t>
            </w:r>
          </w:p>
        </w:tc>
      </w:tr>
      <w:tr>
        <w:trPr>
          <w:trHeight w:val="180"/>
        </w:trPr>
        <w:tc>
          <w:tcPr>
            <w:tcW w:w="2300" w:type="dxa"/>
            <w:vAlign w:val="bottom"/>
          </w:tcPr>
          <w:p>
            <w:pPr>
              <w:spacing w:after="0"/>
              <w:rPr>
                <w:sz w:val="15"/>
                <w:szCs w:val="15"/>
                <w:color w:val="auto"/>
              </w:rPr>
            </w:pPr>
          </w:p>
        </w:tc>
        <w:tc>
          <w:tcPr>
            <w:tcW w:w="89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foregoing is to subject collectively the Holder and all other Attribution Parties to the Beneficial Ownership Limitation (as defined in</w:t>
            </w:r>
          </w:p>
        </w:tc>
      </w:tr>
      <w:tr>
        <w:trPr>
          <w:trHeight w:val="194"/>
        </w:trPr>
        <w:tc>
          <w:tcPr>
            <w:tcW w:w="2300" w:type="dxa"/>
            <w:vAlign w:val="bottom"/>
          </w:tcPr>
          <w:p>
            <w:pPr>
              <w:spacing w:after="0"/>
              <w:rPr>
                <w:sz w:val="16"/>
                <w:szCs w:val="16"/>
                <w:color w:val="auto"/>
              </w:rPr>
            </w:pPr>
          </w:p>
        </w:tc>
        <w:tc>
          <w:tcPr>
            <w:tcW w:w="89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Section 2(f));</w:t>
            </w:r>
          </w:p>
        </w:tc>
      </w:tr>
      <w:tr>
        <w:trPr>
          <w:trHeight w:val="330"/>
        </w:trPr>
        <w:tc>
          <w:tcPr>
            <w:tcW w:w="230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1"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Calculation Agent</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Exercise Date</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Exercise Notice</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Exercise Period</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Exercise Price</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Exercise Ratio</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Exercised Shares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Exercised Shares Delivery Date</w:t>
      </w:r>
      <w:r>
        <w:rPr>
          <w:rFonts w:ascii="Times New Roman" w:cs="Times New Roman" w:eastAsia="Times New Roman" w:hAnsi="Times New Roman"/>
          <w:sz w:val="15"/>
          <w:szCs w:val="15"/>
          <w:color w:val="auto"/>
        </w:rPr>
        <w:t>”</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Financial Intermediary</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ind w:right="760"/>
        <w:spacing w:after="0" w:line="53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French Commercial Code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French FDI Regime</w:t>
      </w:r>
      <w:r>
        <w:rPr>
          <w:rFonts w:ascii="Times New Roman" w:cs="Times New Roman" w:eastAsia="Times New Roman" w:hAnsi="Times New Roman"/>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French Monetary and Financial Code</w:t>
      </w:r>
      <w:r>
        <w:rPr>
          <w:rFonts w:ascii="Times New Roman" w:cs="Times New Roman" w:eastAsia="Times New Roman" w:hAnsi="Times New Roman"/>
          <w:sz w:val="14"/>
          <w:szCs w:val="14"/>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Group</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Holder</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Holders’ General Meeting</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Independent Expert</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Issue Date</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Masse</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jc w:val="both"/>
        <w:spacing w:after="0" w:line="280" w:lineRule="auto"/>
        <w:rPr>
          <w:sz w:val="20"/>
          <w:szCs w:val="20"/>
          <w:color w:val="auto"/>
        </w:rPr>
      </w:pPr>
      <w:r>
        <w:rPr>
          <w:rFonts w:ascii="Times New Roman" w:cs="Times New Roman" w:eastAsia="Times New Roman" w:hAnsi="Times New Roman"/>
          <w:sz w:val="15"/>
          <w:szCs w:val="15"/>
          <w:color w:val="auto"/>
        </w:rPr>
        <w:t>means a day, other than a Saturday, Sunday, U.S. federal holiday, or a day on which banks in Paris, France or The City of New York, United States are authorized or required by law to be closed to the public;</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the meaning given in Section 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the meaning given in the introduction;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means the Securities Exchange Act of 1934, as amended, and the rules and regulations promulgated thereunder;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the meaning given in Section 2(c);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the meaning given in Section 2(c);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the meaning given in Section 2(a);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the meaning given in the introduction;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the meaning given in the introduction ;</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has the meaning given in </w:t>
      </w:r>
      <w:r>
        <w:rPr>
          <w:rFonts w:ascii="Times New Roman" w:cs="Times New Roman" w:eastAsia="Times New Roman" w:hAnsi="Times New Roman"/>
          <w:sz w:val="15"/>
          <w:szCs w:val="15"/>
          <w:b w:val="1"/>
          <w:bCs w:val="1"/>
          <w:u w:val="single" w:color="auto"/>
          <w:color w:val="auto"/>
        </w:rPr>
        <w:t>Appendix A</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means, in relation to any exercise of Warrants, the actual date of delivery of the Warrant Shares (other than Additional Shares) in respect thereof in accordance with these Terms and Conditions;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the meaning given in Section 3(c).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means the French </w:t>
      </w:r>
      <w:r>
        <w:rPr>
          <w:rFonts w:ascii="Times New Roman" w:cs="Times New Roman" w:eastAsia="Times New Roman" w:hAnsi="Times New Roman"/>
          <w:sz w:val="15"/>
          <w:szCs w:val="15"/>
          <w:i w:val="1"/>
          <w:iCs w:val="1"/>
          <w:color w:val="auto"/>
        </w:rPr>
        <w:t>Code de commerce</w:t>
      </w:r>
      <w:r>
        <w:rPr>
          <w:rFonts w:ascii="Times New Roman" w:cs="Times New Roman" w:eastAsia="Times New Roman" w:hAnsi="Times New Roman"/>
          <w:sz w:val="15"/>
          <w:szCs w:val="15"/>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the meaning given in Section 2(f);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means the French </w:t>
      </w:r>
      <w:r>
        <w:rPr>
          <w:rFonts w:ascii="Times New Roman" w:cs="Times New Roman" w:eastAsia="Times New Roman" w:hAnsi="Times New Roman"/>
          <w:sz w:val="15"/>
          <w:szCs w:val="15"/>
          <w:i w:val="1"/>
          <w:iCs w:val="1"/>
          <w:color w:val="auto"/>
        </w:rPr>
        <w:t>Code monétaire et financier</w:t>
      </w:r>
      <w:r>
        <w:rPr>
          <w:rFonts w:ascii="Times New Roman" w:cs="Times New Roman" w:eastAsia="Times New Roman" w:hAnsi="Times New Roman"/>
          <w:sz w:val="15"/>
          <w:szCs w:val="15"/>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means a “group” as that term is used in Section 13(d) of the Exchange Act and as defined in Rule 13d-5 thereunder;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means, in respect of any Warrant at any time, the holder of such Warrant at such time as recorded in the Warrant Register as such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the meaning given in Section 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the meaning given in Section 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means the date of issue of the Warrants, being on or about May 26,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the meaning given in Section 7;</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means an individual or a corporation, a general or limited partnership, a trust, an incorporated or unincorporated association, a joint venture, a limited liability company, a limited liability partnership, a joint stock company, a government (or any agency or political subdivision thereof) or any other entity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196850</wp:posOffset>
            </wp:positionV>
            <wp:extent cx="715518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2">
            <w:col w:w="2540" w:space="360"/>
            <w:col w:w="8360"/>
          </w:cols>
          <w:pgMar w:left="320" w:top="301"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Record Date</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Registrar</w:t>
      </w:r>
      <w:r>
        <w:rPr>
          <w:rFonts w:ascii="Times New Roman" w:cs="Times New Roman" w:eastAsia="Times New Roman" w:hAnsi="Times New Roman"/>
          <w:sz w:val="15"/>
          <w:szCs w:val="15"/>
          <w:color w:val="auto"/>
        </w:rPr>
        <w:t>”</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Representative</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Share</w:t>
      </w:r>
      <w:r>
        <w:rPr>
          <w:rFonts w:ascii="Times New Roman" w:cs="Times New Roman" w:eastAsia="Times New Roman" w:hAnsi="Times New Roman"/>
          <w:sz w:val="15"/>
          <w:szCs w:val="15"/>
          <w:color w:val="auto"/>
        </w:rPr>
        <w:t>”</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Share Equivalents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48" w:lineRule="exact"/>
        <w:rPr>
          <w:sz w:val="20"/>
          <w:szCs w:val="20"/>
          <w:color w:val="auto"/>
        </w:rPr>
      </w:pPr>
    </w:p>
    <w:p>
      <w:pPr>
        <w:ind w:right="640"/>
        <w:spacing w:after="0" w:line="5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Terms and Conditions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Trading Day</w:t>
      </w:r>
      <w:r>
        <w:rPr>
          <w:rFonts w:ascii="Times New Roman" w:cs="Times New Roman" w:eastAsia="Times New Roman" w:hAnsi="Times New Roman"/>
          <w:sz w:val="14"/>
          <w:szCs w:val="14"/>
          <w:color w:val="auto"/>
        </w:rPr>
        <w: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Trading Market</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VWAP</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5"/>
          <w:szCs w:val="15"/>
          <w:color w:val="auto"/>
        </w:rPr>
        <w:t>means, in respect of any transaction giving rise to an adjustment of the Exercise Ratio pursuant Section 5(a) or 10, (i) the date on which the ownership of the Shares is established so as to determine which holders of Shares are the beneficiaries of a given transaction or may take part in a transaction and, in particular, to which holders of Shares, a dividend, a distribution or an allocation, announced or voted as of this date or announced or voted prior to this date, should be paid, delivered, or completed; or (ii) (if such a date cannot be determined as provided in (i) above in the case of a transaction pursuant to paragraph 6, 7 or 9 of Section 5(a)) such date as is determined in good faith to be appropriate by an Independent Expert.</w:t>
      </w:r>
    </w:p>
    <w:p>
      <w:pPr>
        <w:spacing w:after="0" w:line="15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5"/>
          <w:szCs w:val="15"/>
          <w:color w:val="auto"/>
        </w:rPr>
        <w:t>means the registrar of the Warrants on behalf of the Company from time to time as specified in writing by the Company to the Holders of the Warrants and, as of the Issue Date, currently CIC CIB;</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the meaning given in Section 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means the Securities Act of 1933, as amended, and the rules and regulations promulgated thereunder;</w:t>
      </w:r>
    </w:p>
    <w:p>
      <w:pPr>
        <w:spacing w:after="0" w:line="18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has the meaning given in the introduction. For the avoidance of doubt, references herein to Shares shall, as the context may require, refer to Shares represented by ADSs;</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means any securities of the Company or its subsidiaries which would entitle the holder thereof to acquire at any time Shares or ADSs, including, without limitation, any debt, preferred share, right, option, warrant or other instrument that is at any time convertible into or exercisable or exchangeable for, or otherwise entitles the holder thereof to receive, Shares or ADSs;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the meaning given in the introduction;</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means any day (other than a Saturday or Sunday) on which the Shares are traded on the Trading Market therefor, other than a day on which such trading ceases prior to the usual closing time, whether such cessation is scheduled (as it is often the case regarding trading on Euronext Paris on 24 and 31 December) or unscheduled;</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means (a) in respect of the Shares, (i) Euronext Paris (or any successor thereto), or (ii) if the Shares are no longer admitted to trading on Euronext Paris (or any successor thereto) at the relevant time, the principal stock exchange or other securities market (as determined by an Independent Expert) on which the Shares (or, as applicable, ADSs representing them) are admitted to trading at such time, or (b) in respect of any other securities or other assets, (i) Euronext Paris (or any successor thereto), or (ii) if such securities or other assets are not admitted to trading on Euronext Paris (or any successor thereto) at the relevant time, the principal stock exchange or other securities market (as determined by an Independent Expert) on which such securities or other assets (or, as applicable, depositary receipts representing them) are admitted to trading at such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the meaning given in Section 5;</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means, in respect of a Share or other security or asset, on any Trading Day, the volume-weighted average price of such Share or other security on such day on the Trading Market therefor as published by or derived from Bloomberg page HP (or any successor page) (setting “PR094 VWAP (Vol Weighted Average Price)”, or any successor setting) in respect of such Share or other security or asset for such Trading Market (such page being as at the Issue Date, in the case of the Shares, NANO FP Equity HP), provided that in the case of a VWAP to be observed over a period comprising several Trading Days, such VWAP shall be equal to the volume-weighted average of the relevant daily VWAPs (the daily volumes to be used for the purpose of determining such weighted average being the volumes as published on such Bloomberg page HP (or any successor page), setting “VWAP Volume” (or any successor setting)), all as determined by the Calculation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203835</wp:posOffset>
            </wp:positionV>
            <wp:extent cx="7155180"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2">
            <w:col w:w="2180" w:space="720"/>
            <w:col w:w="8360"/>
          </w:cols>
          <w:pgMar w:left="320" w:top="301"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Warrant Shares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has the meaning given in the introduction; and</w:t>
      </w:r>
    </w:p>
    <w:p>
      <w:pPr>
        <w:spacing w:after="0" w:line="195" w:lineRule="exact"/>
        <w:rPr>
          <w:sz w:val="20"/>
          <w:szCs w:val="20"/>
          <w:color w:val="auto"/>
        </w:rPr>
      </w:pPr>
    </w:p>
    <w:p>
      <w:pPr>
        <w:sectPr>
          <w:pgSz w:w="11900" w:h="16838" w:orient="portrait"/>
          <w:cols w:equalWidth="0" w:num="2">
            <w:col w:w="2180" w:space="720"/>
            <w:col w:w="8360"/>
          </w:cols>
          <w:pgMar w:left="320" w:top="301" w:right="31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has the meaning given in the introduction.</w:t>
      </w:r>
    </w:p>
    <w:p>
      <w:pPr>
        <w:spacing w:after="0" w:line="199" w:lineRule="exact"/>
        <w:rPr>
          <w:sz w:val="20"/>
          <w:szCs w:val="20"/>
          <w:color w:val="auto"/>
        </w:rPr>
      </w:pPr>
    </w:p>
    <w:p>
      <w:pPr>
        <w:sectPr>
          <w:pgSz w:w="11900" w:h="16838" w:orient="portrait"/>
          <w:cols w:equalWidth="0" w:num="2">
            <w:col w:w="2180" w:space="720"/>
            <w:col w:w="8360"/>
          </w:cols>
          <w:pgMar w:left="320" w:top="30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Section headings are included for the convenience of the parties only and do not affect the interpretation of the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Exercise</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color w:val="auto"/>
        </w:rPr>
        <w:t>Exercise Period</w:t>
      </w:r>
    </w:p>
    <w:p>
      <w:pPr>
        <w:spacing w:after="0" w:line="190" w:lineRule="exact"/>
        <w:rPr>
          <w:sz w:val="20"/>
          <w:szCs w:val="20"/>
          <w:color w:val="auto"/>
        </w:rPr>
      </w:pPr>
    </w:p>
    <w:p>
      <w:pPr>
        <w:jc w:val="both"/>
        <w:ind w:left="1080"/>
        <w:spacing w:after="0" w:line="265" w:lineRule="auto"/>
        <w:rPr>
          <w:sz w:val="20"/>
          <w:szCs w:val="20"/>
          <w:color w:val="auto"/>
        </w:rPr>
      </w:pPr>
      <w:r>
        <w:rPr>
          <w:rFonts w:ascii="Times New Roman" w:cs="Times New Roman" w:eastAsia="Times New Roman" w:hAnsi="Times New Roman"/>
          <w:sz w:val="15"/>
          <w:szCs w:val="15"/>
          <w:color w:val="auto"/>
        </w:rPr>
        <w:t>Subject to the conditions and limitations specifically provided herein, the Warrants may be exercised by the Holder, in whole or (subject always to exercising a whole number of Warrants) in part, in one or more instances, for cash, at any time and from time to time on any Business Day during the period commencing on (and including) the Issue Date to (and including) May 26, 2036 (as may be extended pursuant to Section 9, the “</w:t>
      </w:r>
      <w:r>
        <w:rPr>
          <w:rFonts w:ascii="Times New Roman" w:cs="Times New Roman" w:eastAsia="Times New Roman" w:hAnsi="Times New Roman"/>
          <w:sz w:val="15"/>
          <w:szCs w:val="15"/>
          <w:b w:val="1"/>
          <w:bCs w:val="1"/>
          <w:color w:val="auto"/>
        </w:rPr>
        <w:t>Exercise Period</w:t>
      </w:r>
      <w:r>
        <w:rPr>
          <w:rFonts w:ascii="Times New Roman" w:cs="Times New Roman" w:eastAsia="Times New Roman" w:hAnsi="Times New Roman"/>
          <w:sz w:val="15"/>
          <w:szCs w:val="15"/>
          <w:color w:val="auto"/>
        </w:rPr>
        <w:t>”).</w:t>
      </w:r>
    </w:p>
    <w:p>
      <w:pPr>
        <w:spacing w:after="0" w:line="149" w:lineRule="exact"/>
        <w:rPr>
          <w:sz w:val="20"/>
          <w:szCs w:val="20"/>
          <w:color w:val="auto"/>
        </w:rPr>
      </w:pPr>
    </w:p>
    <w:p>
      <w:pPr>
        <w:jc w:val="both"/>
        <w:ind w:left="1080" w:right="20"/>
        <w:spacing w:after="0" w:line="280" w:lineRule="auto"/>
        <w:rPr>
          <w:sz w:val="20"/>
          <w:szCs w:val="20"/>
          <w:color w:val="auto"/>
        </w:rPr>
      </w:pPr>
      <w:r>
        <w:rPr>
          <w:rFonts w:ascii="Times New Roman" w:cs="Times New Roman" w:eastAsia="Times New Roman" w:hAnsi="Times New Roman"/>
          <w:sz w:val="15"/>
          <w:szCs w:val="15"/>
          <w:color w:val="auto"/>
        </w:rPr>
        <w:t>Any Warrant which has not been validly exercised in accordance with these Terms and Conditions prior to 5:00 p.m., Paris time on the last Business Day of the Exercise Period shall become null and void and the rights of the Holder to exercise such Warrant shall lapse.</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color w:val="auto"/>
        </w:rPr>
        <w:t>Exercise Price, Exercise Ratio</w:t>
      </w:r>
    </w:p>
    <w:p>
      <w:pPr>
        <w:spacing w:after="0" w:line="190" w:lineRule="exact"/>
        <w:rPr>
          <w:sz w:val="20"/>
          <w:szCs w:val="20"/>
          <w:color w:val="auto"/>
        </w:rPr>
      </w:pPr>
    </w:p>
    <w:p>
      <w:pPr>
        <w:jc w:val="both"/>
        <w:ind w:left="1080"/>
        <w:spacing w:after="0" w:line="256" w:lineRule="auto"/>
        <w:rPr>
          <w:sz w:val="20"/>
          <w:szCs w:val="20"/>
          <w:color w:val="auto"/>
        </w:rPr>
      </w:pPr>
      <w:r>
        <w:rPr>
          <w:rFonts w:ascii="Times New Roman" w:cs="Times New Roman" w:eastAsia="Times New Roman" w:hAnsi="Times New Roman"/>
          <w:sz w:val="15"/>
          <w:szCs w:val="15"/>
          <w:color w:val="auto"/>
        </w:rPr>
        <w:t>The exercise price per each Warrant, except for a portion of such exercise price per Warrant which is payable upon exercise thereof and equal to the Exercise Price (being Euro 0.03), was pre-funded to the Company on or prior to the Issue Date. Consequently, no additional consideration (other than the Exercise Price) shall be required to be paid by the Holder to any Person to effect any exercise of the Warrants. The Holder shall not be entitled to the return or refund of all, or any portion, of such pre-funded exercise price (or, for the avoidance of doubt, any consideration paid for the subscription of the Warrants) under any circumstance or for any reason whatsoever. The remaining unpaid exercise price per Warrant shall be, in respect of any exercise of a Warrant, the Exercise Price (being Euro 0.03). The Exercise Price shall be due and payable in Euro upon exercise of each Warrant.</w:t>
      </w:r>
    </w:p>
    <w:p>
      <w:pPr>
        <w:spacing w:after="0" w:line="157" w:lineRule="exact"/>
        <w:rPr>
          <w:sz w:val="20"/>
          <w:szCs w:val="20"/>
          <w:color w:val="auto"/>
        </w:rPr>
      </w:pPr>
    </w:p>
    <w:p>
      <w:pPr>
        <w:jc w:val="both"/>
        <w:ind w:left="1080"/>
        <w:spacing w:after="0" w:line="260" w:lineRule="auto"/>
        <w:rPr>
          <w:sz w:val="20"/>
          <w:szCs w:val="20"/>
          <w:color w:val="auto"/>
        </w:rPr>
      </w:pPr>
      <w:r>
        <w:rPr>
          <w:rFonts w:ascii="Times New Roman" w:cs="Times New Roman" w:eastAsia="Times New Roman" w:hAnsi="Times New Roman"/>
          <w:sz w:val="15"/>
          <w:szCs w:val="15"/>
          <w:color w:val="auto"/>
        </w:rPr>
        <w:t>Each Warrant is exercisable into a number of Warrant Share(s) equal to the Exercise Ratio in effect on the relevant Exercise Date, provided that upon any exercise of one or more Warrants pursuant to any one Exercise Notice, the number of Warrant Shares in respect of such exercise shall be equal to the product (rounded down to the nearest whole multiple of Shares, subject to Section 4) of the number of Warrants so exercised pursuant to such Exercise Notice and the Exercise Ratio in effect on the relevant Exercise Date, subject to Section 5(b), all as determined by the Calculation Agent.</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color w:val="auto"/>
        </w:rPr>
        <w:t>Terms of exercise</w:t>
      </w:r>
    </w:p>
    <w:p>
      <w:pPr>
        <w:spacing w:after="0" w:line="1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To exercise the Warrants, the Holder shall, at any time prior to 5:00 p.m., Paris time, on any Business Day during the Exercise Period:</w:t>
      </w:r>
    </w:p>
    <w:p>
      <w:pPr>
        <w:spacing w:after="0" w:line="188" w:lineRule="exact"/>
        <w:rPr>
          <w:sz w:val="20"/>
          <w:szCs w:val="20"/>
          <w:color w:val="auto"/>
        </w:rPr>
      </w:pPr>
    </w:p>
    <w:p>
      <w:pPr>
        <w:jc w:val="both"/>
        <w:ind w:left="1620" w:hanging="539"/>
        <w:spacing w:after="0" w:line="260" w:lineRule="auto"/>
        <w:rPr>
          <w:sz w:val="20"/>
          <w:szCs w:val="20"/>
          <w:color w:val="auto"/>
        </w:rPr>
      </w:pPr>
      <w:r>
        <w:rPr>
          <w:rFonts w:ascii="Times New Roman" w:cs="Times New Roman" w:eastAsia="Times New Roman" w:hAnsi="Times New Roman"/>
          <w:sz w:val="15"/>
          <w:szCs w:val="15"/>
          <w:color w:val="auto"/>
        </w:rPr>
        <w:t xml:space="preserve">send, by email to the Registrar at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and [***], copying the Company at [***] and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and the Calculation Agent at [***] (or in each case to such other email addresses as may be notified from time to time to the Holders in accordance with Section 13), a notice of exercise (the “</w:t>
      </w:r>
      <w:r>
        <w:rPr>
          <w:rFonts w:ascii="Times New Roman" w:cs="Times New Roman" w:eastAsia="Times New Roman" w:hAnsi="Times New Roman"/>
          <w:sz w:val="15"/>
          <w:szCs w:val="15"/>
          <w:b w:val="1"/>
          <w:bCs w:val="1"/>
          <w:color w:val="auto"/>
        </w:rPr>
        <w:t>Exercise Notice</w:t>
      </w:r>
      <w:r>
        <w:rPr>
          <w:rFonts w:ascii="Times New Roman" w:cs="Times New Roman" w:eastAsia="Times New Roman" w:hAnsi="Times New Roman"/>
          <w:sz w:val="15"/>
          <w:szCs w:val="15"/>
          <w:color w:val="auto"/>
        </w:rPr>
        <w:t xml:space="preserve">” in respect of such exercise of Warrants) in the form (for the time being current) obtainable from the Issuer (the initial form of which is set forth in </w:t>
      </w:r>
      <w:r>
        <w:rPr>
          <w:rFonts w:ascii="Times New Roman" w:cs="Times New Roman" w:eastAsia="Times New Roman" w:hAnsi="Times New Roman"/>
          <w:sz w:val="15"/>
          <w:szCs w:val="15"/>
          <w:b w:val="1"/>
          <w:bCs w:val="1"/>
          <w:u w:val="single" w:color="auto"/>
          <w:color w:val="auto"/>
        </w:rPr>
        <w:t>Appendix A</w:t>
      </w:r>
      <w:r>
        <w:rPr>
          <w:rFonts w:ascii="Times New Roman" w:cs="Times New Roman" w:eastAsia="Times New Roman" w:hAnsi="Times New Roman"/>
          <w:sz w:val="15"/>
          <w:szCs w:val="15"/>
          <w:color w:val="auto"/>
        </w:rPr>
        <w:t xml:space="preserve">), which Exercise Notice shall, </w:t>
      </w:r>
      <w:r>
        <w:rPr>
          <w:rFonts w:ascii="Times New Roman" w:cs="Times New Roman" w:eastAsia="Times New Roman" w:hAnsi="Times New Roman"/>
          <w:sz w:val="15"/>
          <w:szCs w:val="15"/>
          <w:i w:val="1"/>
          <w:iCs w:val="1"/>
          <w:color w:val="auto"/>
        </w:rPr>
        <w:t>inter alia</w:t>
      </w:r>
      <w:r>
        <w:rPr>
          <w:rFonts w:ascii="Times New Roman" w:cs="Times New Roman" w:eastAsia="Times New Roman" w:hAnsi="Times New Roman"/>
          <w:sz w:val="15"/>
          <w:szCs w:val="15"/>
          <w:color w:val="auto"/>
        </w:rPr>
        <w:t>, specify the number of Warrants to be exercised; and</w:t>
      </w:r>
    </w:p>
    <w:p>
      <w:pPr>
        <w:spacing w:after="0" w:line="153" w:lineRule="exact"/>
        <w:rPr>
          <w:sz w:val="20"/>
          <w:szCs w:val="20"/>
          <w:color w:val="auto"/>
        </w:rPr>
      </w:pPr>
    </w:p>
    <w:p>
      <w:pPr>
        <w:jc w:val="both"/>
        <w:ind w:left="1620" w:hanging="539"/>
        <w:spacing w:after="0" w:line="265" w:lineRule="auto"/>
        <w:rPr>
          <w:sz w:val="20"/>
          <w:szCs w:val="20"/>
          <w:color w:val="auto"/>
        </w:rPr>
      </w:pPr>
      <w:r>
        <w:rPr>
          <w:rFonts w:ascii="Times New Roman" w:cs="Times New Roman" w:eastAsia="Times New Roman" w:hAnsi="Times New Roman"/>
          <w:sz w:val="15"/>
          <w:szCs w:val="15"/>
          <w:color w:val="auto"/>
        </w:rPr>
        <w:t>make payment to the Company of an amount equal to the product of (x) the Exercise Price and (y) the number of Warrants which are being exercised pursuant to such Exercise Notice (the “</w:t>
      </w:r>
      <w:r>
        <w:rPr>
          <w:rFonts w:ascii="Times New Roman" w:cs="Times New Roman" w:eastAsia="Times New Roman" w:hAnsi="Times New Roman"/>
          <w:sz w:val="15"/>
          <w:szCs w:val="15"/>
          <w:b w:val="1"/>
          <w:bCs w:val="1"/>
          <w:color w:val="auto"/>
        </w:rPr>
        <w:t>Aggregate Exercise Price</w:t>
      </w:r>
      <w:r>
        <w:rPr>
          <w:rFonts w:ascii="Times New Roman" w:cs="Times New Roman" w:eastAsia="Times New Roman" w:hAnsi="Times New Roman"/>
          <w:sz w:val="15"/>
          <w:szCs w:val="15"/>
          <w:color w:val="auto"/>
        </w:rPr>
        <w:t>” in respect of such exercise of Warrants) by wire transfer of immediately available funds in Euros as set forth in Section 2(e)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196850</wp:posOffset>
            </wp:positionV>
            <wp:extent cx="715518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type w:val="continuous"/>
        </w:sectPr>
      </w:pPr>
    </w:p>
    <w:bookmarkStart w:id="63" w:name="page64"/>
    <w:bookmarkEnd w:id="63"/>
    <w:p>
      <w:pPr>
        <w:jc w:val="both"/>
        <w:ind w:left="540" w:right="20"/>
        <w:spacing w:after="0" w:line="282" w:lineRule="auto"/>
        <w:rPr>
          <w:sz w:val="20"/>
          <w:szCs w:val="20"/>
          <w:color w:val="auto"/>
        </w:rPr>
      </w:pPr>
      <w:r>
        <w:rPr>
          <w:rFonts w:ascii="Times New Roman" w:cs="Times New Roman" w:eastAsia="Times New Roman" w:hAnsi="Times New Roman"/>
          <w:sz w:val="15"/>
          <w:szCs w:val="15"/>
          <w:i w:val="1"/>
          <w:iCs w:val="1"/>
          <w:color w:val="auto"/>
        </w:rPr>
        <w:t>provided that</w:t>
      </w:r>
      <w:r>
        <w:rPr>
          <w:rFonts w:ascii="Times New Roman" w:cs="Times New Roman" w:eastAsia="Times New Roman" w:hAnsi="Times New Roman"/>
          <w:sz w:val="15"/>
          <w:szCs w:val="15"/>
          <w:color w:val="auto"/>
        </w:rPr>
        <w:t>, if any of (i) or (ii) above occurs on a day which is not a Business Day or after 5:00 p.m., Paris time on any Business Day, (i) above, or, as applicable, (ii)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above, shall be deemed to have occurred on the immediately following Business Day.</w:t>
      </w:r>
    </w:p>
    <w:p>
      <w:pPr>
        <w:spacing w:after="0" w:line="133" w:lineRule="exact"/>
        <w:rPr>
          <w:sz w:val="20"/>
          <w:szCs w:val="20"/>
          <w:color w:val="auto"/>
        </w:rPr>
      </w:pPr>
    </w:p>
    <w:p>
      <w:pPr>
        <w:jc w:val="both"/>
        <w:ind w:left="540"/>
        <w:spacing w:after="0" w:line="285" w:lineRule="auto"/>
        <w:rPr>
          <w:sz w:val="20"/>
          <w:szCs w:val="20"/>
          <w:color w:val="auto"/>
        </w:rPr>
      </w:pP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b w:val="1"/>
          <w:bCs w:val="1"/>
          <w:color w:val="auto"/>
        </w:rPr>
        <w:t>Exercise Date</w:t>
      </w:r>
      <w:r>
        <w:rPr>
          <w:rFonts w:ascii="Times New Roman" w:cs="Times New Roman" w:eastAsia="Times New Roman" w:hAnsi="Times New Roman"/>
          <w:sz w:val="15"/>
          <w:szCs w:val="15"/>
          <w:color w:val="auto"/>
        </w:rPr>
        <w:t>” in respect of any exercise of Warrants shall be the Business Day on which the later of (i) and (ii) above has occurred (or is deemed to have occurred), or if both (i) and (ii) above have occurred (or are deemed to have occurred) on the same Business Day, such Business Day, as determined by the Company.</w:t>
      </w:r>
    </w:p>
    <w:p>
      <w:pPr>
        <w:spacing w:after="0" w:line="135" w:lineRule="exact"/>
        <w:rPr>
          <w:sz w:val="20"/>
          <w:szCs w:val="20"/>
          <w:color w:val="auto"/>
        </w:rPr>
      </w:pPr>
    </w:p>
    <w:p>
      <w:pPr>
        <w:jc w:val="both"/>
        <w:ind w:left="540"/>
        <w:spacing w:after="0" w:line="265" w:lineRule="auto"/>
        <w:rPr>
          <w:sz w:val="20"/>
          <w:szCs w:val="20"/>
          <w:color w:val="auto"/>
        </w:rPr>
      </w:pPr>
      <w:r>
        <w:rPr>
          <w:rFonts w:ascii="Times New Roman" w:cs="Times New Roman" w:eastAsia="Times New Roman" w:hAnsi="Times New Roman"/>
          <w:sz w:val="15"/>
          <w:szCs w:val="15"/>
          <w:color w:val="auto"/>
        </w:rPr>
        <w:t>For the avoidance of doubt, (i) the Exercise Date determined as aforesaid must fall during the Exercise Period, failing which the relevant exercise of Warrants shall be null and void and (ii) the Holder may exercise all or any portion of its Warrants in one or several times within the Exercise Period, it being specified that each Warrant shall be exercised only once.</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 ink-original Exercise Notice shall be required, nor shall any type of guarantee or notarization of any Exercise Notice be required.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Confirmation of Exercise</w:t>
      </w:r>
    </w:p>
    <w:p>
      <w:pPr>
        <w:spacing w:after="0" w:line="190" w:lineRule="exact"/>
        <w:rPr>
          <w:sz w:val="20"/>
          <w:szCs w:val="20"/>
          <w:color w:val="auto"/>
        </w:rPr>
      </w:pPr>
    </w:p>
    <w:p>
      <w:pPr>
        <w:jc w:val="both"/>
        <w:ind w:left="540"/>
        <w:spacing w:after="0" w:line="260" w:lineRule="auto"/>
        <w:rPr>
          <w:sz w:val="20"/>
          <w:szCs w:val="20"/>
          <w:color w:val="auto"/>
        </w:rPr>
      </w:pPr>
      <w:r>
        <w:rPr>
          <w:rFonts w:ascii="Times New Roman" w:cs="Times New Roman" w:eastAsia="Times New Roman" w:hAnsi="Times New Roman"/>
          <w:sz w:val="15"/>
          <w:szCs w:val="15"/>
          <w:color w:val="auto"/>
        </w:rPr>
        <w:t xml:space="preserve">Upon receipt by the Registrar of an Exercise Notice and by the Company of the corresponding Aggregate Exercise Price in accordance with Section 2(c), of which the Company shall promptly inform the Registrar and the Calculation Agent, the Registrar shall as soon as practicable, but in no event later than 5:00 p.m. Paris time, on the Business Day immediately following the Exercise Date, send to the Holder, by email, with a copy to the Company and the Calculation Agent, a confirmation of receipt of such Aggregate Exercise Price and Exercise Notice and the applicable Exercise Date in the form of the notice at </w:t>
      </w:r>
      <w:r>
        <w:rPr>
          <w:rFonts w:ascii="Times New Roman" w:cs="Times New Roman" w:eastAsia="Times New Roman" w:hAnsi="Times New Roman"/>
          <w:sz w:val="15"/>
          <w:szCs w:val="15"/>
          <w:b w:val="1"/>
          <w:bCs w:val="1"/>
          <w:u w:val="single" w:color="auto"/>
          <w:color w:val="auto"/>
        </w:rPr>
        <w:t>Appendix B</w:t>
      </w:r>
      <w:r>
        <w:rPr>
          <w:rFonts w:ascii="Times New Roman" w:cs="Times New Roman" w:eastAsia="Times New Roman" w:hAnsi="Times New Roman"/>
          <w:sz w:val="15"/>
          <w:szCs w:val="15"/>
          <w:color w:val="auto"/>
        </w:rPr>
        <w:t xml:space="preserve"> to the Holder through its intermediary.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Issue of Warrant Shares Upon Exercise</w:t>
      </w:r>
    </w:p>
    <w:p>
      <w:pPr>
        <w:spacing w:after="0" w:line="190" w:lineRule="exact"/>
        <w:rPr>
          <w:sz w:val="20"/>
          <w:szCs w:val="20"/>
          <w:color w:val="auto"/>
        </w:rPr>
      </w:pPr>
    </w:p>
    <w:p>
      <w:pPr>
        <w:jc w:val="both"/>
        <w:ind w:left="540" w:right="20"/>
        <w:spacing w:after="0" w:line="280" w:lineRule="auto"/>
        <w:rPr>
          <w:sz w:val="20"/>
          <w:szCs w:val="20"/>
          <w:color w:val="auto"/>
        </w:rPr>
      </w:pPr>
      <w:r>
        <w:rPr>
          <w:rFonts w:ascii="Times New Roman" w:cs="Times New Roman" w:eastAsia="Times New Roman" w:hAnsi="Times New Roman"/>
          <w:sz w:val="15"/>
          <w:szCs w:val="15"/>
          <w:color w:val="auto"/>
        </w:rPr>
        <w:t>In the event of any exercise of the rights represented by the Warrants in accordance with Section 2(c), the Company shall allot and issue to the Holder the Warrant Shares to which the Holder thereby becomes entitled on or with effect from the date of delivery of such Warrant Shares in accordance with these Terms and Conditions.</w:t>
      </w:r>
    </w:p>
    <w:p>
      <w:pPr>
        <w:spacing w:after="0" w:line="138" w:lineRule="exact"/>
        <w:rPr>
          <w:sz w:val="20"/>
          <w:szCs w:val="20"/>
          <w:color w:val="auto"/>
        </w:rPr>
      </w:pPr>
    </w:p>
    <w:p>
      <w:pPr>
        <w:jc w:val="both"/>
        <w:ind w:left="540"/>
        <w:spacing w:after="0" w:line="260" w:lineRule="auto"/>
        <w:rPr>
          <w:sz w:val="20"/>
          <w:szCs w:val="20"/>
          <w:color w:val="auto"/>
        </w:rPr>
      </w:pPr>
      <w:r>
        <w:rPr>
          <w:rFonts w:ascii="Times New Roman" w:cs="Times New Roman" w:eastAsia="Times New Roman" w:hAnsi="Times New Roman"/>
          <w:sz w:val="15"/>
          <w:szCs w:val="15"/>
          <w:color w:val="auto"/>
        </w:rPr>
        <w:t>The Company shall use its best efforts to cause the Registrar to, on or before the third Business Day following the Exercise Date (or, in the case of Additional Shares, by such time as is specified in Section 5(b)), deliver such aggregate number of Warrant Shares to which the Holder shall be entitled to in respect of such exercise (as calculated by the Calculation Agent), either (as specified in the Exercise Notice) (i) to the Holder’s securities account opened in the name of the Holder with the Registrar or (ii) to the Holder’s securities account opened in the name of or for the benefit of the Holder with any other Financial Intermediary.</w:t>
      </w:r>
    </w:p>
    <w:p>
      <w:pPr>
        <w:spacing w:after="0" w:line="153" w:lineRule="exact"/>
        <w:rPr>
          <w:sz w:val="20"/>
          <w:szCs w:val="20"/>
          <w:color w:val="auto"/>
        </w:rPr>
      </w:pPr>
    </w:p>
    <w:p>
      <w:pPr>
        <w:jc w:val="both"/>
        <w:ind w:left="540" w:right="20"/>
        <w:spacing w:after="0" w:line="280" w:lineRule="auto"/>
        <w:rPr>
          <w:sz w:val="20"/>
          <w:szCs w:val="20"/>
          <w:color w:val="auto"/>
        </w:rPr>
      </w:pPr>
      <w:r>
        <w:rPr>
          <w:rFonts w:ascii="Times New Roman" w:cs="Times New Roman" w:eastAsia="Times New Roman" w:hAnsi="Times New Roman"/>
          <w:sz w:val="15"/>
          <w:szCs w:val="15"/>
          <w:color w:val="auto"/>
        </w:rPr>
        <w:t>The Company’s obligation to issue Warrant Shares upon exercise of the Warrants shall not be subject to (i) any set off or defense or (ii) any claims against any holder of Warrants however arising.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Holder’s Exercise Limitations.</w:t>
      </w:r>
    </w:p>
    <w:p>
      <w:pPr>
        <w:spacing w:after="0" w:line="190" w:lineRule="exact"/>
        <w:rPr>
          <w:sz w:val="20"/>
          <w:szCs w:val="20"/>
          <w:color w:val="auto"/>
        </w:rPr>
      </w:pPr>
    </w:p>
    <w:p>
      <w:pPr>
        <w:jc w:val="both"/>
        <w:ind w:left="540"/>
        <w:spacing w:after="0" w:line="253" w:lineRule="auto"/>
        <w:rPr>
          <w:sz w:val="20"/>
          <w:szCs w:val="20"/>
          <w:color w:val="auto"/>
        </w:rPr>
      </w:pPr>
      <w:r>
        <w:rPr>
          <w:rFonts w:ascii="Times New Roman" w:cs="Times New Roman" w:eastAsia="Times New Roman" w:hAnsi="Times New Roman"/>
          <w:sz w:val="15"/>
          <w:szCs w:val="15"/>
          <w:color w:val="auto"/>
        </w:rPr>
        <w:t>Neither the Company nor the Registrar shall effect any exercise of the Warrants, and the Holder shall not have the right to exercise any portion of the Warrants, pursuant to Section 2 or otherwise, to the extent that immediately prior to or after giving effect to such issuance after exercise as set forth on the applicable Exercise Notice, the Holder (together with its Attribution Parties), would beneficially own in excess of the Beneficial Ownership Limitation (as defined below), and the Company shall ensure that the Registrar shall only effectuate the exercise of any portion of the Warrants if both the Company and the Holder have signed the relevant exercise notice. For purposes of the foregoing sentence, the number of Shares beneficially owned by the Holder and its Attribution Parties shall include the number of Shares held by the Holder and its Attribution Parties plus the number of Warrant Shares issued upon exercise of the Warrants with respect to which such determination is being made, but shall exclude the number of Shares which would be issuable upon (i) exercise of the remaining, unexercised portion of Warrants beneficially owned by the Holder or any of its Attribution Parties and (ii) exercise or conversion of the unexercised or nonconverted portion of any other securities of the Company (including, without limitation, any other Share Equivalents) subject to a limitation on conversion or exercise analogous to the limitation contained herein that are beneficially owned by the Holder or any of its Attribution Parties. Except as set forth in the preceding sentence, for purposes of this Section 2(f), beneficial ownership shall be calculated in accordance with Section 13(d) of the Exchange Act and the rules and regulations promulgated thereunder or, with respect to the French FDI Regime, in accordance therewith, it being acknowledged by the Holder that the Company is not representing to the Holder that such calculation is in compliance with Section 13(d) of the Exchange Act or the French FDI Regime and the Holder is solely responsible for any schedules required to be filed in accordance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202565</wp:posOffset>
            </wp:positionV>
            <wp:extent cx="715518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20"/>
          </w:cols>
          <w:pgMar w:left="860" w:top="303" w:right="319" w:bottom="1440" w:gutter="0" w:footer="0" w:header="0"/>
        </w:sectPr>
      </w:pPr>
    </w:p>
    <w:bookmarkStart w:id="64" w:name="page65"/>
    <w:bookmarkEnd w:id="64"/>
    <w:p>
      <w:pPr>
        <w:jc w:val="both"/>
        <w:spacing w:after="0" w:line="256" w:lineRule="auto"/>
        <w:rPr>
          <w:sz w:val="20"/>
          <w:szCs w:val="20"/>
          <w:color w:val="auto"/>
        </w:rPr>
      </w:pPr>
      <w:r>
        <w:rPr>
          <w:rFonts w:ascii="Times New Roman" w:cs="Times New Roman" w:eastAsia="Times New Roman" w:hAnsi="Times New Roman"/>
          <w:sz w:val="15"/>
          <w:szCs w:val="15"/>
          <w:color w:val="auto"/>
        </w:rPr>
        <w:t>To the extent that the limitation contained in this Section 2(f) applies, the determination of whether the Warrants are exercisable (in relation to other securities owned by the Holder together with any Attribution Parties) and of which portion of the Warrants is exercisable shall be in the joint determination of the Holder and the Company in reliance on the information regarding beneficial ownership of the Holder and the Attribution Parties provided by the Holder, and the submission of an Exercise Notice shall be deemed to be the joint determination of whether the Warrants are exercisable (in relation to other securities owned by the Holder together with any Attribution Parties) and of which portion of the Warrants is exercisable, in each case subject to the Beneficial Ownership Limitation. In addition, a determination as to any group status as contemplated above shall be determined by the Holder in accordance with Section 13(d) of the Exchange Act.</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For purposes of this Section 2(f), in determining the number of outstanding Shares the Holder may acquire upon exercise of the Warrants without exceeding the Beneficial Ownership Limitation, the Holder may rely on the number of outstanding Shares as reflected in (x) the Company’s most recent Annual Report on Form 20-F and Current Reports on Form 6-K or other public filing with the U.S. Securities and Exchange Commission, as the case may be, (y) a more recent public announcement by the Company or (z) any other written notice by the Company setting forth the number of Shares outstanding. The Company shall provide reasonable assistance to the Holder to determine the number of Shares outstanding and, upon written request of the Holder, the Company shall within two Business Days confirm in writing or by electronic mail to the Holder the number of Shares then outstanding. In any case, the number of outstanding Shares shall be determined after giving effect to the conversion or exercise of securities of the Company, including the Warrants, by the Holder or its Attribution Parties since the date as of which such number of outstanding Shares was reported.</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u w:val="single" w:color="auto"/>
          <w:color w:val="auto"/>
        </w:rPr>
        <w:t>Beneficial Ownership Limitation</w:t>
      </w:r>
      <w:r>
        <w:rPr>
          <w:rFonts w:ascii="Times New Roman" w:cs="Times New Roman" w:eastAsia="Times New Roman" w:hAnsi="Times New Roman"/>
          <w:sz w:val="15"/>
          <w:szCs w:val="15"/>
          <w:color w:val="auto"/>
        </w:rPr>
        <w:t>” shall be 9.99% of the number of Shares outstanding immediately after giving effect to the issuance of Shares issuable upon exercise of the Warrants. The Holder, upon notice to the Company, may increase or decrease the Beneficial Ownership Limitation provisions of this Section 2(f), provided that (a) to the extent required by law, in the cases of Beneficial Ownership Limitation increased above 9.99%, the Holder has obtained from the French Ministry of Economy through an authorization request or prior notification, in accordance with Articles L. 151-3 and seq., R. 151-4 and seq. of the French Monetary and Financial Code, Decree no. 2020-892 of July 22, 2020, as amended by Decree no. 2022-1622 of December 23, 2022 and Decree no. 2023-1293 of December 28, 2023, as amended from time to time (the “</w:t>
      </w:r>
      <w:r>
        <w:rPr>
          <w:rFonts w:ascii="Times New Roman" w:cs="Times New Roman" w:eastAsia="Times New Roman" w:hAnsi="Times New Roman"/>
          <w:sz w:val="15"/>
          <w:szCs w:val="15"/>
          <w:b w:val="1"/>
          <w:bCs w:val="1"/>
          <w:color w:val="auto"/>
        </w:rPr>
        <w:t>French FDI Regime</w:t>
      </w:r>
      <w:r>
        <w:rPr>
          <w:rFonts w:ascii="Times New Roman" w:cs="Times New Roman" w:eastAsia="Times New Roman" w:hAnsi="Times New Roman"/>
          <w:sz w:val="15"/>
          <w:szCs w:val="15"/>
          <w:color w:val="auto"/>
        </w:rPr>
        <w:t>”), either (i) a written response from the French Ministry of Economy confirming that the exercise of the Warrant and, therefore, the acquisition of Warrant Shares that would cause the Holder to beneficially own Shares (including Warrant Shares) in excess of 9.99% of the voting rights of the Company (the “</w:t>
      </w:r>
      <w:r>
        <w:rPr>
          <w:rFonts w:ascii="Times New Roman" w:cs="Times New Roman" w:eastAsia="Times New Roman" w:hAnsi="Times New Roman"/>
          <w:sz w:val="15"/>
          <w:szCs w:val="15"/>
          <w:b w:val="1"/>
          <w:bCs w:val="1"/>
          <w:color w:val="auto"/>
        </w:rPr>
        <w:t>10% Crossing Event</w:t>
      </w:r>
      <w:r>
        <w:rPr>
          <w:rFonts w:ascii="Times New Roman" w:cs="Times New Roman" w:eastAsia="Times New Roman" w:hAnsi="Times New Roman"/>
          <w:sz w:val="15"/>
          <w:szCs w:val="15"/>
          <w:color w:val="auto"/>
        </w:rPr>
        <w:t>”) is not subject to the prior authorization procedure referred to in Articles R. 151-5 and seq. of the French Monetary and Financial Code or (ii) in accordance with Articles R. 151-6 and seq. of the French Monetary and Financial Code or Article 2 of Decree no. 2020-892 of July 22, 2020, the authorization (express or tacit) to proceed with the 10% Crossing Event and (b) the Beneficial Ownership Limitation in no event exceeds (i) with respect to the limitations under Section 13(d) of the Exchange Act, 19.99% of the number of Shares (the “</w:t>
      </w:r>
      <w:r>
        <w:rPr>
          <w:rFonts w:ascii="Times New Roman" w:cs="Times New Roman" w:eastAsia="Times New Roman" w:hAnsi="Times New Roman"/>
          <w:sz w:val="15"/>
          <w:szCs w:val="15"/>
          <w:b w:val="1"/>
          <w:bCs w:val="1"/>
          <w:color w:val="auto"/>
        </w:rPr>
        <w:t>19.99% Cap</w:t>
      </w:r>
      <w:r>
        <w:rPr>
          <w:rFonts w:ascii="Times New Roman" w:cs="Times New Roman" w:eastAsia="Times New Roman" w:hAnsi="Times New Roman"/>
          <w:sz w:val="15"/>
          <w:szCs w:val="15"/>
          <w:color w:val="auto"/>
        </w:rPr>
        <w:t>”) and (ii) with respect to the French FDI Regime, 24.99% of the voting rights (the “</w:t>
      </w:r>
      <w:r>
        <w:rPr>
          <w:rFonts w:ascii="Times New Roman" w:cs="Times New Roman" w:eastAsia="Times New Roman" w:hAnsi="Times New Roman"/>
          <w:sz w:val="15"/>
          <w:szCs w:val="15"/>
          <w:b w:val="1"/>
          <w:bCs w:val="1"/>
          <w:color w:val="auto"/>
        </w:rPr>
        <w:t>24.99% Cap</w:t>
      </w:r>
      <w:r>
        <w:rPr>
          <w:rFonts w:ascii="Times New Roman" w:cs="Times New Roman" w:eastAsia="Times New Roman" w:hAnsi="Times New Roman"/>
          <w:sz w:val="15"/>
          <w:szCs w:val="15"/>
          <w:color w:val="auto"/>
        </w:rPr>
        <w:t xml:space="preserve">”), in each case, outstanding immediately after giving effect to the issuance of Warrant Shares upon exercise of the Warrants held by the Holder and the provisions of this Section 2(f) shall continue to apply. Any increase in the Beneficial Ownership Limitation will not be effective until the 61st day after such notice is delivered to the Company. Notwithstanding the foregoing, at any time as from the date of announcement of any cash tender offer, exchange offer or any combination thereof (including any </w:t>
      </w:r>
      <w:r>
        <w:rPr>
          <w:rFonts w:ascii="Times New Roman" w:cs="Times New Roman" w:eastAsia="Times New Roman" w:hAnsi="Times New Roman"/>
          <w:sz w:val="15"/>
          <w:szCs w:val="15"/>
          <w:i w:val="1"/>
          <w:iCs w:val="1"/>
          <w:color w:val="auto"/>
        </w:rPr>
        <w:t>offre publique d’achat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offre publique d’échange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offre alternative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offre mixte</w:t>
      </w:r>
      <w:r>
        <w:rPr>
          <w:rFonts w:ascii="Times New Roman" w:cs="Times New Roman" w:eastAsia="Times New Roman" w:hAnsi="Times New Roman"/>
          <w:sz w:val="15"/>
          <w:szCs w:val="15"/>
          <w:color w:val="auto"/>
        </w:rPr>
        <w:t>) regarding the Company or in case of a reduction of capital not motivated by losses, the Holder may increase, waive or amend the Beneficial Ownership Limitation effective two (2) Business Days following written notice to the Company, provided, however, that the Beneficial Ownership Limitation may not be increased pursuant to this sentence to an amount in excess of the 19.99% Cap or the 24.99% Cap. Any decrease in the Beneficial Ownership Limitation will not be effective until two (2) Business Days after such notice is delivered to the Company.</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provisions of this paragraph shall be construed and implemented in a manner otherwise than in strict conformity with the terms of this Section 2(f) to correct this Section 2(f)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the Warrants. The Company agrees to promptly execute the Exercise Notice upon receipt unless it reasonably believes that the Holder’s exercise would violate Section 2(f).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85090</wp:posOffset>
            </wp:positionV>
            <wp:extent cx="715518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180"/>
          </w:cols>
          <w:pgMar w:left="1400" w:top="30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b w:val="1"/>
          <w:bCs w:val="1"/>
          <w:color w:val="auto"/>
        </w:rPr>
        <w:t>Warrant Shares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color w:val="auto"/>
        </w:rPr>
        <w:t>Form of Warrant Shares</w:t>
      </w:r>
    </w:p>
    <w:p>
      <w:pPr>
        <w:spacing w:after="0" w:line="188"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5"/>
          <w:szCs w:val="15"/>
          <w:color w:val="auto"/>
        </w:rPr>
        <w:t>The Warrant Shares will be, at the option of the Holder, (i) held in registered form (</w:t>
      </w:r>
      <w:r>
        <w:rPr>
          <w:rFonts w:ascii="Times New Roman" w:cs="Times New Roman" w:eastAsia="Times New Roman" w:hAnsi="Times New Roman"/>
          <w:sz w:val="15"/>
          <w:szCs w:val="15"/>
          <w:i w:val="1"/>
          <w:iCs w:val="1"/>
          <w:color w:val="auto"/>
        </w:rPr>
        <w:t>au nominatif</w:t>
      </w:r>
      <w:r>
        <w:rPr>
          <w:rFonts w:ascii="Times New Roman" w:cs="Times New Roman" w:eastAsia="Times New Roman" w:hAnsi="Times New Roman"/>
          <w:sz w:val="15"/>
          <w:szCs w:val="15"/>
          <w:color w:val="auto"/>
        </w:rPr>
        <w:t>) (including administered registered form (</w:t>
      </w:r>
      <w:r>
        <w:rPr>
          <w:rFonts w:ascii="Times New Roman" w:cs="Times New Roman" w:eastAsia="Times New Roman" w:hAnsi="Times New Roman"/>
          <w:sz w:val="15"/>
          <w:szCs w:val="15"/>
          <w:i w:val="1"/>
          <w:iCs w:val="1"/>
          <w:color w:val="auto"/>
        </w:rPr>
        <w:t>nominatif administré</w:t>
      </w:r>
      <w:r>
        <w:rPr>
          <w:rFonts w:ascii="Times New Roman" w:cs="Times New Roman" w:eastAsia="Times New Roman" w:hAnsi="Times New Roman"/>
          <w:sz w:val="15"/>
          <w:szCs w:val="15"/>
          <w:color w:val="auto"/>
        </w:rPr>
        <w:t>)) in the securities account opened in the name of the Holder in the books of the Registrar (and, if held in administered registered form, of the Holder’s Financial Intermediary), or (ii) in bearer form (</w:t>
      </w:r>
      <w:r>
        <w:rPr>
          <w:rFonts w:ascii="Times New Roman" w:cs="Times New Roman" w:eastAsia="Times New Roman" w:hAnsi="Times New Roman"/>
          <w:sz w:val="15"/>
          <w:szCs w:val="15"/>
          <w:i w:val="1"/>
          <w:iCs w:val="1"/>
          <w:color w:val="auto"/>
        </w:rPr>
        <w:t>au porteur</w:t>
      </w:r>
      <w:r>
        <w:rPr>
          <w:rFonts w:ascii="Times New Roman" w:cs="Times New Roman" w:eastAsia="Times New Roman" w:hAnsi="Times New Roman"/>
          <w:sz w:val="15"/>
          <w:szCs w:val="15"/>
          <w:color w:val="auto"/>
        </w:rPr>
        <w:t>), in the securities account opened in the name of or for the benefit of the Holder in the books of the Holder’s Financial Intermediary.</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color w:val="auto"/>
        </w:rPr>
        <w:t>Dividend Due Date and Rights Attached to the Warrant Shares</w:t>
      </w:r>
    </w:p>
    <w:p>
      <w:pPr>
        <w:spacing w:after="0" w:line="190" w:lineRule="exact"/>
        <w:rPr>
          <w:sz w:val="20"/>
          <w:szCs w:val="20"/>
          <w:color w:val="auto"/>
        </w:rPr>
      </w:pPr>
    </w:p>
    <w:p>
      <w:pPr>
        <w:jc w:val="both"/>
        <w:ind w:left="1080"/>
        <w:spacing w:after="0" w:line="280" w:lineRule="auto"/>
        <w:rPr>
          <w:sz w:val="20"/>
          <w:szCs w:val="20"/>
          <w:color w:val="auto"/>
        </w:rPr>
      </w:pPr>
      <w:r>
        <w:rPr>
          <w:rFonts w:ascii="Times New Roman" w:cs="Times New Roman" w:eastAsia="Times New Roman" w:hAnsi="Times New Roman"/>
          <w:sz w:val="15"/>
          <w:szCs w:val="15"/>
          <w:color w:val="auto"/>
        </w:rPr>
        <w:t>Upon issue, Warrant Shares allotted pursuant to an Exercise Notice will grant the same rights, including, as from their date of delivery, the right to any dividend or any other distribution decided or to be paid, as are granted to holders of the Shares, and will be entirely assimilated to the Shares.</w:t>
      </w:r>
    </w:p>
    <w:p>
      <w:pPr>
        <w:spacing w:after="0" w:line="13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Warrant Shares shall be subject to all provisions of the Company’s by-laws and to the decisions of its shareholders’ meetings.</w:t>
      </w:r>
    </w:p>
    <w:p>
      <w:pPr>
        <w:spacing w:after="0" w:line="188" w:lineRule="exact"/>
        <w:rPr>
          <w:sz w:val="20"/>
          <w:szCs w:val="20"/>
          <w:color w:val="auto"/>
        </w:rPr>
      </w:pPr>
    </w:p>
    <w:p>
      <w:pPr>
        <w:jc w:val="both"/>
        <w:ind w:left="1080" w:right="20"/>
        <w:spacing w:after="0" w:line="280" w:lineRule="auto"/>
        <w:rPr>
          <w:sz w:val="20"/>
          <w:szCs w:val="20"/>
          <w:color w:val="auto"/>
        </w:rPr>
      </w:pPr>
      <w:r>
        <w:rPr>
          <w:rFonts w:ascii="Times New Roman" w:cs="Times New Roman" w:eastAsia="Times New Roman" w:hAnsi="Times New Roman"/>
          <w:sz w:val="15"/>
          <w:szCs w:val="15"/>
          <w:color w:val="auto"/>
        </w:rPr>
        <w:t>Application will be made, on the date of delivery of the Warrant Shares, by the Registrar on behalf of the Company for the Warrant Shares to be admitted to trading on the Trading Market therefor, on the same quotation line as the Shares.</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color w:val="auto"/>
        </w:rPr>
        <w:t>Transfer of Warrant Shares, Admission to Euroclear France</w:t>
      </w:r>
    </w:p>
    <w:p>
      <w:pPr>
        <w:spacing w:after="0" w:line="190" w:lineRule="exact"/>
        <w:rPr>
          <w:sz w:val="20"/>
          <w:szCs w:val="20"/>
          <w:color w:val="auto"/>
        </w:rPr>
      </w:pPr>
    </w:p>
    <w:p>
      <w:pPr>
        <w:jc w:val="both"/>
        <w:ind w:left="1080"/>
        <w:spacing w:after="0" w:line="280" w:lineRule="auto"/>
        <w:rPr>
          <w:sz w:val="20"/>
          <w:szCs w:val="20"/>
          <w:color w:val="auto"/>
        </w:rPr>
      </w:pPr>
      <w:r>
        <w:rPr>
          <w:rFonts w:ascii="Times New Roman" w:cs="Times New Roman" w:eastAsia="Times New Roman" w:hAnsi="Times New Roman"/>
          <w:sz w:val="15"/>
          <w:szCs w:val="15"/>
          <w:color w:val="auto"/>
        </w:rPr>
        <w:t>Subject to compliance with any applicable securities laws, the Warrant Shares will, upon delivery, be freely negotiable and transferable as from the date of their entry in a securities account.</w:t>
      </w:r>
    </w:p>
    <w:p>
      <w:pPr>
        <w:spacing w:after="0" w:line="138" w:lineRule="exact"/>
        <w:rPr>
          <w:sz w:val="20"/>
          <w:szCs w:val="20"/>
          <w:color w:val="auto"/>
        </w:rPr>
      </w:pPr>
    </w:p>
    <w:p>
      <w:pPr>
        <w:jc w:val="both"/>
        <w:ind w:left="1080"/>
        <w:spacing w:after="0" w:line="280" w:lineRule="auto"/>
        <w:rPr>
          <w:sz w:val="20"/>
          <w:szCs w:val="20"/>
          <w:color w:val="auto"/>
        </w:rPr>
      </w:pPr>
      <w:r>
        <w:rPr>
          <w:rFonts w:ascii="Times New Roman" w:cs="Times New Roman" w:eastAsia="Times New Roman" w:hAnsi="Times New Roman"/>
          <w:sz w:val="15"/>
          <w:szCs w:val="15"/>
          <w:color w:val="auto"/>
        </w:rPr>
        <w:t>In accordance with the provisions of Articles L. 211-15 and L. 211-17 of the French Monetary and Financial Code, Shares are transferred from account to account and transfer of ownership of the Warrant Shares will result from their registration in the name of the transferee or by book entry, as applicable.</w:t>
      </w:r>
    </w:p>
    <w:p>
      <w:pPr>
        <w:spacing w:after="0" w:line="134" w:lineRule="exact"/>
        <w:rPr>
          <w:sz w:val="20"/>
          <w:szCs w:val="20"/>
          <w:color w:val="auto"/>
        </w:rPr>
      </w:pPr>
    </w:p>
    <w:p>
      <w:pPr>
        <w:jc w:val="both"/>
        <w:ind w:left="1080"/>
        <w:spacing w:after="0" w:line="268" w:lineRule="auto"/>
        <w:rPr>
          <w:sz w:val="20"/>
          <w:szCs w:val="20"/>
          <w:color w:val="auto"/>
        </w:rPr>
      </w:pPr>
      <w:r>
        <w:rPr>
          <w:rFonts w:ascii="Times New Roman" w:cs="Times New Roman" w:eastAsia="Times New Roman" w:hAnsi="Times New Roman"/>
          <w:sz w:val="15"/>
          <w:szCs w:val="15"/>
          <w:color w:val="auto"/>
        </w:rPr>
        <w:t>Application will be made for the Warrant Shares upon exercise of the Warrants to be admitted to Euroclear France SA (“</w:t>
      </w:r>
      <w:r>
        <w:rPr>
          <w:rFonts w:ascii="Times New Roman" w:cs="Times New Roman" w:eastAsia="Times New Roman" w:hAnsi="Times New Roman"/>
          <w:sz w:val="15"/>
          <w:szCs w:val="15"/>
          <w:b w:val="1"/>
          <w:bCs w:val="1"/>
          <w:color w:val="auto"/>
        </w:rPr>
        <w:t>Euroclear France</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Intermediary</w:t>
      </w:r>
      <w:r>
        <w:rPr>
          <w:rFonts w:ascii="Times New Roman" w:cs="Times New Roman" w:eastAsia="Times New Roman" w:hAnsi="Times New Roman"/>
          <w:sz w:val="15"/>
          <w:szCs w:val="15"/>
          <w:color w:val="auto"/>
        </w:rPr>
        <w:t>” means any intermediary institution entitled to hold, directly or indirectly, securities accounts on behalf of its customers with Euroclear France,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includes the depositary bank for Clearstream Banking, S.A. and Euroclear Bank SA/NV upon any exercise of Warrants).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Fractional Shares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 fractional Shares shall be issuable upon the exercise of a Warrant.</w:t>
      </w:r>
    </w:p>
    <w:p>
      <w:pPr>
        <w:spacing w:after="0" w:line="188" w:lineRule="exact"/>
        <w:rPr>
          <w:sz w:val="20"/>
          <w:szCs w:val="20"/>
          <w:color w:val="auto"/>
        </w:rPr>
      </w:pPr>
    </w:p>
    <w:p>
      <w:pPr>
        <w:jc w:val="both"/>
        <w:ind w:left="540"/>
        <w:spacing w:after="0" w:line="256" w:lineRule="auto"/>
        <w:rPr>
          <w:sz w:val="20"/>
          <w:szCs w:val="20"/>
          <w:color w:val="auto"/>
        </w:rPr>
      </w:pPr>
      <w:r>
        <w:rPr>
          <w:rFonts w:ascii="Times New Roman" w:cs="Times New Roman" w:eastAsia="Times New Roman" w:hAnsi="Times New Roman"/>
          <w:sz w:val="15"/>
          <w:szCs w:val="15"/>
          <w:color w:val="auto"/>
        </w:rPr>
        <w:t>Upon any exercise of Warrants pursuant to any one Exercise Notice, if the number of Warrant Shares in respect thereof calculated in accordance with these Terms and Conditions is not a whole number, such number shall be rounded down to the nearest whole multiple of Warrant Shares, and the Holder will receive from the Company (as soon as practicable, and in any case no later than 3 Business Days following the date of delivery of the Shares) a cash payment equal to the product (rounded down to the nearest whole multiple of €0.01) of the fractional share so rounded down and the closing price of the Shares on the Trading Market for the Shares on the last Trading Day preceding the Exercise Date (or, in the case of Additional Shares, the closing price of the Shares on such Trading Market on the Effective Date of the adjustment to the Exercise Ratio giving rise to such Additional Shares, or, if such Effective Date is not a Trading Day, on the immediately following Trading Day), all as determined by the Calculation Agent.</w:t>
      </w:r>
    </w:p>
    <w:p>
      <w:pPr>
        <w:spacing w:after="0" w:line="157" w:lineRule="exact"/>
        <w:rPr>
          <w:sz w:val="20"/>
          <w:szCs w:val="20"/>
          <w:color w:val="auto"/>
        </w:rPr>
      </w:pPr>
    </w:p>
    <w:p>
      <w:pPr>
        <w:jc w:val="both"/>
        <w:ind w:left="540"/>
        <w:spacing w:after="0" w:line="265" w:lineRule="auto"/>
        <w:rPr>
          <w:sz w:val="20"/>
          <w:szCs w:val="20"/>
          <w:color w:val="auto"/>
        </w:rPr>
      </w:pPr>
      <w:r>
        <w:rPr>
          <w:rFonts w:ascii="Times New Roman" w:cs="Times New Roman" w:eastAsia="Times New Roman" w:hAnsi="Times New Roman"/>
          <w:sz w:val="15"/>
          <w:szCs w:val="15"/>
          <w:color w:val="auto"/>
        </w:rPr>
        <w:t>The Holder and any assignee, by acceptance of delivery of a Warrant to such Holder or assignee, acknowledges and agrees that, by reason of the provisions of this Section 4, following the purchase of a portion of the Warrant Shares hereunder, the number of Warrant Shares available for purchase hereunder at any given time may be less than the amount for which such person subscribed or was purportedly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196850</wp:posOffset>
            </wp:positionV>
            <wp:extent cx="715518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b w:val="1"/>
          <w:bCs w:val="1"/>
          <w:color w:val="auto"/>
        </w:rPr>
        <w:t>Adjustments of Exercise Ratio</w:t>
      </w:r>
    </w:p>
    <w:p>
      <w:pPr>
        <w:spacing w:after="0" w:line="190" w:lineRule="exact"/>
        <w:rPr>
          <w:sz w:val="20"/>
          <w:szCs w:val="20"/>
          <w:color w:val="auto"/>
        </w:rPr>
      </w:pPr>
    </w:p>
    <w:p>
      <w:pPr>
        <w:ind w:left="740" w:hanging="210"/>
        <w:spacing w:after="0"/>
        <w:tabs>
          <w:tab w:leader="none" w:pos="7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Adjustments to the Exercise Ratio</w:t>
      </w:r>
    </w:p>
    <w:p>
      <w:pPr>
        <w:spacing w:after="0" w:line="188" w:lineRule="exact"/>
        <w:rPr>
          <w:sz w:val="20"/>
          <w:szCs w:val="20"/>
          <w:color w:val="auto"/>
        </w:rPr>
      </w:pPr>
    </w:p>
    <w:p>
      <w:pPr>
        <w:jc w:val="both"/>
        <w:ind w:left="540"/>
        <w:spacing w:after="0" w:line="282" w:lineRule="auto"/>
        <w:rPr>
          <w:sz w:val="20"/>
          <w:szCs w:val="20"/>
          <w:color w:val="auto"/>
        </w:rPr>
      </w:pPr>
      <w:r>
        <w:rPr>
          <w:rFonts w:ascii="Times New Roman" w:cs="Times New Roman" w:eastAsia="Times New Roman" w:hAnsi="Times New Roman"/>
          <w:sz w:val="15"/>
          <w:szCs w:val="15"/>
          <w:color w:val="auto"/>
        </w:rPr>
        <w:t xml:space="preserve">Warrants issued by the Company are securities giving access to the share capital of the Company within the meaning of Articles L. 228-91 </w:t>
      </w:r>
      <w:r>
        <w:rPr>
          <w:rFonts w:ascii="Times New Roman" w:cs="Times New Roman" w:eastAsia="Times New Roman" w:hAnsi="Times New Roman"/>
          <w:sz w:val="15"/>
          <w:szCs w:val="15"/>
          <w:i w:val="1"/>
          <w:iCs w:val="1"/>
          <w:color w:val="auto"/>
        </w:rPr>
        <w:t>et seq.</w:t>
      </w:r>
      <w:r>
        <w:rPr>
          <w:rFonts w:ascii="Times New Roman" w:cs="Times New Roman" w:eastAsia="Times New Roman" w:hAnsi="Times New Roman"/>
          <w:sz w:val="15"/>
          <w:szCs w:val="15"/>
          <w:color w:val="auto"/>
        </w:rPr>
        <w:t xml:space="preserve"> of the French Commercial Code.</w:t>
      </w:r>
    </w:p>
    <w:p>
      <w:pPr>
        <w:spacing w:after="0" w:line="137" w:lineRule="exact"/>
        <w:rPr>
          <w:sz w:val="20"/>
          <w:szCs w:val="20"/>
          <w:color w:val="auto"/>
        </w:rPr>
      </w:pPr>
    </w:p>
    <w:p>
      <w:pPr>
        <w:jc w:val="both"/>
        <w:ind w:left="540"/>
        <w:spacing w:after="0" w:line="280" w:lineRule="auto"/>
        <w:rPr>
          <w:sz w:val="20"/>
          <w:szCs w:val="20"/>
          <w:color w:val="auto"/>
        </w:rPr>
      </w:pPr>
      <w:r>
        <w:rPr>
          <w:rFonts w:ascii="Times New Roman" w:cs="Times New Roman" w:eastAsia="Times New Roman" w:hAnsi="Times New Roman"/>
          <w:sz w:val="15"/>
          <w:szCs w:val="15"/>
          <w:color w:val="auto"/>
        </w:rPr>
        <w:t>The Exercise Ratio will be subject to adjustment from time to time according to mandatory legal requirements imposed by the French Commercial Code and in particular by articles L. 228-98 to L. 228-101 (with the exception of the provisions of Articles L. 228-99 1°) and L. 228-99 2°)) and article R. 228-90 to R. 228-92 of such Code.</w:t>
      </w:r>
    </w:p>
    <w:p>
      <w:pPr>
        <w:spacing w:after="0" w:line="138" w:lineRule="exact"/>
        <w:rPr>
          <w:sz w:val="20"/>
          <w:szCs w:val="20"/>
          <w:color w:val="auto"/>
        </w:rPr>
      </w:pPr>
    </w:p>
    <w:p>
      <w:pPr>
        <w:jc w:val="both"/>
        <w:ind w:left="540"/>
        <w:spacing w:after="0" w:line="260" w:lineRule="auto"/>
        <w:rPr>
          <w:sz w:val="20"/>
          <w:szCs w:val="20"/>
          <w:color w:val="auto"/>
        </w:rPr>
      </w:pPr>
      <w:r>
        <w:rPr>
          <w:rFonts w:ascii="Times New Roman" w:cs="Times New Roman" w:eastAsia="Times New Roman" w:hAnsi="Times New Roman"/>
          <w:sz w:val="15"/>
          <w:szCs w:val="15"/>
          <w:color w:val="auto"/>
        </w:rPr>
        <w:t xml:space="preserve">In accordance with the provisions of Article R. 228-92 of the French Commercial Code, if the Company decides to issue new Shares or securities giving access to the capital with preferential subscription rights limited to its shareholders, to distribute reserves (in cash or in kind) and share premiums or to change the allocation of its profits by creating preferred Shares, or to otherwise carry out any of the Transactions listed below, it will inform (as long as the current regulation so requires) the Holders </w:t>
      </w:r>
      <w:r>
        <w:rPr>
          <w:rFonts w:ascii="Times New Roman" w:cs="Times New Roman" w:eastAsia="Times New Roman" w:hAnsi="Times New Roman"/>
          <w:sz w:val="15"/>
          <w:szCs w:val="15"/>
          <w:i w:val="1"/>
          <w:iCs w:val="1"/>
          <w:color w:val="auto"/>
        </w:rPr>
        <w:t>via</w:t>
      </w:r>
      <w:r>
        <w:rPr>
          <w:rFonts w:ascii="Times New Roman" w:cs="Times New Roman" w:eastAsia="Times New Roman" w:hAnsi="Times New Roman"/>
          <w:sz w:val="15"/>
          <w:szCs w:val="15"/>
          <w:color w:val="auto"/>
        </w:rPr>
        <w:t xml:space="preserve"> an announcement in the </w:t>
      </w:r>
      <w:r>
        <w:rPr>
          <w:rFonts w:ascii="Times New Roman" w:cs="Times New Roman" w:eastAsia="Times New Roman" w:hAnsi="Times New Roman"/>
          <w:sz w:val="15"/>
          <w:szCs w:val="15"/>
          <w:i w:val="1"/>
          <w:iCs w:val="1"/>
          <w:color w:val="auto"/>
        </w:rPr>
        <w:t>Bulletin des Annonces Légales Obligatoires</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5"/>
          <w:szCs w:val="15"/>
          <w:color w:val="auto"/>
        </w:rPr>
        <w:t>If the Company is absorbed by a company or merges or consolidates with (</w:t>
      </w:r>
      <w:r>
        <w:rPr>
          <w:rFonts w:ascii="Times New Roman" w:cs="Times New Roman" w:eastAsia="Times New Roman" w:hAnsi="Times New Roman"/>
          <w:sz w:val="15"/>
          <w:szCs w:val="15"/>
          <w:i w:val="1"/>
          <w:iCs w:val="1"/>
          <w:color w:val="auto"/>
        </w:rPr>
        <w:t>fusions</w:t>
      </w:r>
      <w:r>
        <w:rPr>
          <w:rFonts w:ascii="Times New Roman" w:cs="Times New Roman" w:eastAsia="Times New Roman" w:hAnsi="Times New Roman"/>
          <w:sz w:val="15"/>
          <w:szCs w:val="15"/>
          <w:color w:val="auto"/>
        </w:rPr>
        <w:t>) one or several other companies to participate in the incorporation of a new entity, or proceed with a split (</w:t>
      </w:r>
      <w:r>
        <w:rPr>
          <w:rFonts w:ascii="Times New Roman" w:cs="Times New Roman" w:eastAsia="Times New Roman" w:hAnsi="Times New Roman"/>
          <w:sz w:val="15"/>
          <w:szCs w:val="15"/>
          <w:i w:val="1"/>
          <w:iCs w:val="1"/>
          <w:color w:val="auto"/>
        </w:rPr>
        <w:t>scission</w:t>
      </w:r>
      <w:r>
        <w:rPr>
          <w:rFonts w:ascii="Times New Roman" w:cs="Times New Roman" w:eastAsia="Times New Roman" w:hAnsi="Times New Roman"/>
          <w:sz w:val="15"/>
          <w:szCs w:val="15"/>
          <w:color w:val="auto"/>
        </w:rPr>
        <w:t>), the Holders shall exercise their rights in the entity(ies) that is/are the beneficiary(ies) of the contributions in accordance with the provisions of Article L. 228-101 of the French Commercial Code.</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So long as any Warrants are outstanding and upon completion by the Company, at any time from the Issue Date, of any of the following transactions (each, a “</w:t>
      </w:r>
      <w:r>
        <w:rPr>
          <w:rFonts w:ascii="Times New Roman" w:cs="Times New Roman" w:eastAsia="Times New Roman" w:hAnsi="Times New Roman"/>
          <w:sz w:val="15"/>
          <w:szCs w:val="15"/>
          <w:b w:val="1"/>
          <w:bCs w:val="1"/>
          <w:color w:val="auto"/>
        </w:rPr>
        <w:t>Transaction</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800" w:hanging="270"/>
        <w:spacing w:after="0"/>
        <w:tabs>
          <w:tab w:leader="none" w:pos="8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transactions (issuance of Shares or any other securities of any nature) with listed preferential subscription rights or by free allocation of listed subscription warrants;</w:t>
      </w:r>
    </w:p>
    <w:p>
      <w:pPr>
        <w:spacing w:after="0" w:line="187" w:lineRule="exact"/>
        <w:rPr>
          <w:rFonts w:ascii="Times New Roman" w:cs="Times New Roman" w:eastAsia="Times New Roman" w:hAnsi="Times New Roman"/>
          <w:sz w:val="15"/>
          <w:szCs w:val="15"/>
          <w:color w:val="auto"/>
        </w:rPr>
      </w:pPr>
    </w:p>
    <w:p>
      <w:pPr>
        <w:ind w:left="800" w:hanging="270"/>
        <w:spacing w:after="0"/>
        <w:tabs>
          <w:tab w:leader="none" w:pos="8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free allocation of Shares to shareholders, consolidation or split of the Shares;</w:t>
      </w:r>
    </w:p>
    <w:p>
      <w:pPr>
        <w:spacing w:after="0" w:line="187" w:lineRule="exact"/>
        <w:rPr>
          <w:rFonts w:ascii="Times New Roman" w:cs="Times New Roman" w:eastAsia="Times New Roman" w:hAnsi="Times New Roman"/>
          <w:sz w:val="15"/>
          <w:szCs w:val="15"/>
          <w:color w:val="auto"/>
        </w:rPr>
      </w:pPr>
    </w:p>
    <w:p>
      <w:pPr>
        <w:ind w:left="800" w:hanging="270"/>
        <w:spacing w:after="0"/>
        <w:tabs>
          <w:tab w:leader="none" w:pos="8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incorporation of reserves, profits or premiums into equity, by increasing the nominal value of the Shares;</w:t>
      </w:r>
    </w:p>
    <w:p>
      <w:pPr>
        <w:spacing w:after="0" w:line="187" w:lineRule="exact"/>
        <w:rPr>
          <w:rFonts w:ascii="Times New Roman" w:cs="Times New Roman" w:eastAsia="Times New Roman" w:hAnsi="Times New Roman"/>
          <w:sz w:val="15"/>
          <w:szCs w:val="15"/>
          <w:color w:val="auto"/>
        </w:rPr>
      </w:pPr>
    </w:p>
    <w:p>
      <w:pPr>
        <w:ind w:left="800" w:hanging="270"/>
        <w:spacing w:after="0"/>
        <w:tabs>
          <w:tab w:leader="none" w:pos="8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distribution of reserves and of any Share premium, in cash or in kind;</w:t>
      </w:r>
    </w:p>
    <w:p>
      <w:pPr>
        <w:spacing w:after="0" w:line="187" w:lineRule="exact"/>
        <w:rPr>
          <w:rFonts w:ascii="Times New Roman" w:cs="Times New Roman" w:eastAsia="Times New Roman" w:hAnsi="Times New Roman"/>
          <w:sz w:val="15"/>
          <w:szCs w:val="15"/>
          <w:color w:val="auto"/>
        </w:rPr>
      </w:pPr>
    </w:p>
    <w:p>
      <w:pPr>
        <w:ind w:left="800" w:hanging="270"/>
        <w:spacing w:after="0"/>
        <w:tabs>
          <w:tab w:leader="none" w:pos="8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free allocation to the shareholders of the Company of any securities of the Company (except Shares);</w:t>
      </w:r>
    </w:p>
    <w:p>
      <w:pPr>
        <w:spacing w:after="0" w:line="185" w:lineRule="exact"/>
        <w:rPr>
          <w:rFonts w:ascii="Times New Roman" w:cs="Times New Roman" w:eastAsia="Times New Roman" w:hAnsi="Times New Roman"/>
          <w:sz w:val="15"/>
          <w:szCs w:val="15"/>
          <w:color w:val="auto"/>
        </w:rPr>
      </w:pPr>
    </w:p>
    <w:p>
      <w:pPr>
        <w:ind w:left="800" w:hanging="270"/>
        <w:spacing w:after="0"/>
        <w:tabs>
          <w:tab w:leader="none" w:pos="8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merger by acquisition (</w:t>
      </w:r>
      <w:r>
        <w:rPr>
          <w:rFonts w:ascii="Times New Roman" w:cs="Times New Roman" w:eastAsia="Times New Roman" w:hAnsi="Times New Roman"/>
          <w:sz w:val="15"/>
          <w:szCs w:val="15"/>
          <w:i w:val="1"/>
          <w:iCs w:val="1"/>
          <w:color w:val="auto"/>
        </w:rPr>
        <w:t>fusion par absorption</w:t>
      </w:r>
      <w:r>
        <w:rPr>
          <w:rFonts w:ascii="Times New Roman" w:cs="Times New Roman" w:eastAsia="Times New Roman" w:hAnsi="Times New Roman"/>
          <w:sz w:val="15"/>
          <w:szCs w:val="15"/>
          <w:color w:val="auto"/>
        </w:rPr>
        <w:t>), merger (</w:t>
      </w:r>
      <w:r>
        <w:rPr>
          <w:rFonts w:ascii="Times New Roman" w:cs="Times New Roman" w:eastAsia="Times New Roman" w:hAnsi="Times New Roman"/>
          <w:sz w:val="15"/>
          <w:szCs w:val="15"/>
          <w:i w:val="1"/>
          <w:iCs w:val="1"/>
          <w:color w:val="auto"/>
        </w:rPr>
        <w:t>fusion par création d’une nouvelle société</w:t>
      </w:r>
      <w:r>
        <w:rPr>
          <w:rFonts w:ascii="Times New Roman" w:cs="Times New Roman" w:eastAsia="Times New Roman" w:hAnsi="Times New Roman"/>
          <w:sz w:val="15"/>
          <w:szCs w:val="15"/>
          <w:color w:val="auto"/>
        </w:rPr>
        <w:t>), spin-off, or division (</w:t>
      </w:r>
      <w:r>
        <w:rPr>
          <w:rFonts w:ascii="Times New Roman" w:cs="Times New Roman" w:eastAsia="Times New Roman" w:hAnsi="Times New Roman"/>
          <w:sz w:val="15"/>
          <w:szCs w:val="15"/>
          <w:i w:val="1"/>
          <w:iCs w:val="1"/>
          <w:color w:val="auto"/>
        </w:rPr>
        <w:t>scission</w:t>
      </w:r>
      <w:r>
        <w:rPr>
          <w:rFonts w:ascii="Times New Roman" w:cs="Times New Roman" w:eastAsia="Times New Roman" w:hAnsi="Times New Roman"/>
          <w:sz w:val="15"/>
          <w:szCs w:val="15"/>
          <w:color w:val="auto"/>
        </w:rPr>
        <w:t>) of the Company;</w:t>
      </w:r>
    </w:p>
    <w:p>
      <w:pPr>
        <w:spacing w:after="0" w:line="189" w:lineRule="exact"/>
        <w:rPr>
          <w:rFonts w:ascii="Times New Roman" w:cs="Times New Roman" w:eastAsia="Times New Roman" w:hAnsi="Times New Roman"/>
          <w:sz w:val="15"/>
          <w:szCs w:val="15"/>
          <w:color w:val="auto"/>
        </w:rPr>
      </w:pPr>
    </w:p>
    <w:p>
      <w:pPr>
        <w:ind w:left="800" w:hanging="270"/>
        <w:spacing w:after="0"/>
        <w:tabs>
          <w:tab w:leader="none" w:pos="8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buyback of its own Shares at a price higher than the Trading Market price;</w:t>
      </w:r>
    </w:p>
    <w:p>
      <w:pPr>
        <w:spacing w:after="0" w:line="187" w:lineRule="exact"/>
        <w:rPr>
          <w:rFonts w:ascii="Times New Roman" w:cs="Times New Roman" w:eastAsia="Times New Roman" w:hAnsi="Times New Roman"/>
          <w:sz w:val="15"/>
          <w:szCs w:val="15"/>
          <w:color w:val="auto"/>
        </w:rPr>
      </w:pPr>
    </w:p>
    <w:p>
      <w:pPr>
        <w:ind w:left="800" w:hanging="270"/>
        <w:spacing w:after="0"/>
        <w:tabs>
          <w:tab w:leader="none" w:pos="8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amortization of the share capital; and</w:t>
      </w:r>
    </w:p>
    <w:p>
      <w:pPr>
        <w:spacing w:after="0" w:line="187" w:lineRule="exact"/>
        <w:rPr>
          <w:rFonts w:ascii="Times New Roman" w:cs="Times New Roman" w:eastAsia="Times New Roman" w:hAnsi="Times New Roman"/>
          <w:sz w:val="15"/>
          <w:szCs w:val="15"/>
          <w:color w:val="auto"/>
        </w:rPr>
      </w:pPr>
    </w:p>
    <w:p>
      <w:pPr>
        <w:ind w:left="800" w:hanging="270"/>
        <w:spacing w:after="0"/>
        <w:tabs>
          <w:tab w:leader="none" w:pos="8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in the allocation of profits and/or creation of preferred Shares;</w:t>
      </w:r>
    </w:p>
    <w:p>
      <w:pPr>
        <w:spacing w:after="0" w:line="188" w:lineRule="exact"/>
        <w:rPr>
          <w:sz w:val="20"/>
          <w:szCs w:val="20"/>
          <w:color w:val="auto"/>
        </w:rPr>
      </w:pPr>
    </w:p>
    <w:p>
      <w:pPr>
        <w:jc w:val="both"/>
        <w:ind w:left="540" w:right="20"/>
        <w:spacing w:after="0" w:line="265" w:lineRule="auto"/>
        <w:rPr>
          <w:sz w:val="20"/>
          <w:szCs w:val="20"/>
          <w:color w:val="auto"/>
        </w:rPr>
      </w:pPr>
      <w:r>
        <w:rPr>
          <w:rFonts w:ascii="Times New Roman" w:cs="Times New Roman" w:eastAsia="Times New Roman" w:hAnsi="Times New Roman"/>
          <w:sz w:val="15"/>
          <w:szCs w:val="15"/>
          <w:color w:val="auto"/>
        </w:rPr>
        <w:t>in each case the Record Date of which falls on or after the Issue Date (save in the case of any exercised Warrants if the date of delivery of the Warrant Shares in respect of such exercise falls on or before such Record Date), the maintenance of the rights of the Holders will be ensured by proceeding to an adjustment of the Exercise Ratio (or as otherwise prescribed) in accordance with the Sections below.</w:t>
      </w:r>
    </w:p>
    <w:p>
      <w:pPr>
        <w:spacing w:after="0" w:line="149" w:lineRule="exact"/>
        <w:rPr>
          <w:sz w:val="20"/>
          <w:szCs w:val="20"/>
          <w:color w:val="auto"/>
        </w:rPr>
      </w:pPr>
    </w:p>
    <w:p>
      <w:pPr>
        <w:jc w:val="both"/>
        <w:ind w:left="540"/>
        <w:spacing w:after="0" w:line="265" w:lineRule="auto"/>
        <w:rPr>
          <w:sz w:val="20"/>
          <w:szCs w:val="20"/>
          <w:color w:val="auto"/>
        </w:rPr>
      </w:pPr>
      <w:r>
        <w:rPr>
          <w:rFonts w:ascii="Times New Roman" w:cs="Times New Roman" w:eastAsia="Times New Roman" w:hAnsi="Times New Roman"/>
          <w:sz w:val="15"/>
          <w:szCs w:val="15"/>
          <w:color w:val="auto"/>
        </w:rPr>
        <w:t>Any adjustment to the Exchange Ratio carried out in accordance with this Section 5(a) below (or Section 10) will become effective on the later of (i) the date on which the Transaction triggering such adjustment is completed and (ii) the first Business Day on which the adjustment is capable of being determined in accordance with these Terms and Conditions (such date on which such adjustment becomes effective, the “</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in respect of the relevant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196850</wp:posOffset>
            </wp:positionV>
            <wp:extent cx="715518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7" w:name="page68"/>
    <w:bookmarkEnd w:id="67"/>
    <w:p>
      <w:pPr>
        <w:jc w:val="both"/>
        <w:ind w:left="10"/>
        <w:spacing w:after="0" w:line="265" w:lineRule="auto"/>
        <w:rPr>
          <w:sz w:val="20"/>
          <w:szCs w:val="20"/>
          <w:color w:val="auto"/>
        </w:rPr>
      </w:pPr>
      <w:r>
        <w:rPr>
          <w:rFonts w:ascii="Times New Roman" w:cs="Times New Roman" w:eastAsia="Times New Roman" w:hAnsi="Times New Roman"/>
          <w:sz w:val="15"/>
          <w:szCs w:val="15"/>
          <w:color w:val="auto"/>
        </w:rPr>
        <w:t>In case of any adjustment to the Exercise Ratio made in accordance with this Section 5(a) or Section 10, the new Exercise Ratio will be rounded to the nearest whole multiple of 0.001 Share (with 0.0005 being rounded up to the nearest whole multiple of 0.001). Any subsequent adjustment will be made based on the then prevailing Exercise Ratio as so calculated and rounded. The Warrant Shares, however, may only be delivered in a whole number of Shares, subject to Section 4.</w:t>
      </w:r>
    </w:p>
    <w:p>
      <w:pPr>
        <w:spacing w:after="0" w:line="149" w:lineRule="exact"/>
        <w:rPr>
          <w:sz w:val="20"/>
          <w:szCs w:val="20"/>
          <w:color w:val="auto"/>
        </w:rPr>
      </w:pPr>
    </w:p>
    <w:p>
      <w:pPr>
        <w:ind w:left="270" w:hanging="270"/>
        <w:spacing w:after="0" w:line="280" w:lineRule="auto"/>
        <w:tabs>
          <w:tab w:leader="none" w:pos="27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In the event of a financial transaction (issuance of Shares or any other securities of any nature) with listed preferential right to subscription, the new Exercise Ratio will be determined by the Calculation Agent and will be equal to the product of the Exercise Ratio in effect immediately prior to the relevant Effective Date and the following ratio:</w:t>
      </w:r>
    </w:p>
    <w:p>
      <w:pPr>
        <w:spacing w:after="0" w:line="138"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15"/>
          <w:szCs w:val="15"/>
          <w:color w:val="auto"/>
        </w:rPr>
        <w:t>Value of a Share after detachment of the preferential subscription right</w:t>
      </w:r>
    </w:p>
    <w:p>
      <w:pPr>
        <w:spacing w:after="0" w:line="21"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15"/>
          <w:szCs w:val="15"/>
          <w:color w:val="auto"/>
        </w:rPr>
        <w:t>+Value of the preferential subscription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55245</wp:posOffset>
            </wp:positionV>
            <wp:extent cx="6640195"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40195" cy="14605"/>
                    </a:xfrm>
                    <a:prstGeom prst="rect">
                      <a:avLst/>
                    </a:prstGeom>
                    <a:noFill/>
                  </pic:spPr>
                </pic:pic>
              </a:graphicData>
            </a:graphic>
          </wp:anchor>
        </w:drawing>
      </w:r>
    </w:p>
    <w:p>
      <w:pPr>
        <w:spacing w:after="0" w:line="143"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15"/>
          <w:szCs w:val="15"/>
          <w:color w:val="auto"/>
        </w:rPr>
        <w:t>Value of a Share after detachment of the preferential subscription right</w:t>
      </w:r>
    </w:p>
    <w:p>
      <w:pPr>
        <w:spacing w:after="0" w:line="188" w:lineRule="exact"/>
        <w:rPr>
          <w:sz w:val="20"/>
          <w:szCs w:val="20"/>
          <w:color w:val="auto"/>
        </w:rPr>
      </w:pPr>
    </w:p>
    <w:p>
      <w:pPr>
        <w:jc w:val="both"/>
        <w:ind w:left="270"/>
        <w:spacing w:after="0" w:line="260" w:lineRule="auto"/>
        <w:rPr>
          <w:sz w:val="20"/>
          <w:szCs w:val="20"/>
          <w:color w:val="auto"/>
        </w:rPr>
      </w:pPr>
      <w:r>
        <w:rPr>
          <w:rFonts w:ascii="Times New Roman" w:cs="Times New Roman" w:eastAsia="Times New Roman" w:hAnsi="Times New Roman"/>
          <w:sz w:val="15"/>
          <w:szCs w:val="15"/>
          <w:color w:val="auto"/>
        </w:rPr>
        <w:t>To calculate this ratio, (i) the value of a Share after detachment of the preferential subscription right will be equal to the arithmetic average of the opening prices (if any) of the Shares on the Trading Market for the Shares on all Trading Days included in the subscription period and (ii) the value of the preferential subscription right will be equal to the average of the opening prices (if any) of the preferential subscription right on the Trading Market for the preferential subscription right on all Trading Days included in the subscription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206375</wp:posOffset>
            </wp:positionV>
            <wp:extent cx="715518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30"/>
          </w:cols>
          <w:pgMar w:left="850" w:top="305" w:right="319" w:bottom="1440" w:gutter="0" w:footer="0" w:header="0"/>
        </w:sectPr>
      </w:pPr>
    </w:p>
    <w:bookmarkStart w:id="68" w:name="page69"/>
    <w:bookmarkEnd w:id="68"/>
    <w:p>
      <w:pPr>
        <w:jc w:val="both"/>
        <w:ind w:left="810" w:firstLine="1"/>
        <w:spacing w:after="0" w:line="210" w:lineRule="auto"/>
        <w:tabs>
          <w:tab w:leader="none" w:pos="1029"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 financial transaction carried out through the free allocation of listed subscription warrants to shareholders with a correlative ability to sell the securities resulting from subscription warrants not exercised by the holders during the period of subscription that applies to them</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5"/>
          <w:szCs w:val="15"/>
          <w:color w:val="auto"/>
        </w:rPr>
        <w:t>, the new Exercise Ratio will be determined by the Calculation Agent and will be equal to the product of the Exercise Ratio in effect immediately prior to the relevant Effective Date and the following ratio:</w:t>
      </w:r>
    </w:p>
    <w:p>
      <w:pPr>
        <w:spacing w:after="0" w:line="167"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5"/>
          <w:szCs w:val="15"/>
          <w:color w:val="auto"/>
        </w:rPr>
        <w:t>Value of a Share after detachment of the subscription warrant</w:t>
      </w:r>
    </w:p>
    <w:p>
      <w:pPr>
        <w:spacing w:after="0" w:line="21"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5"/>
          <w:szCs w:val="15"/>
          <w:color w:val="auto"/>
        </w:rPr>
        <w:t>+Value of the subscription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55245</wp:posOffset>
            </wp:positionV>
            <wp:extent cx="6640195"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40195" cy="14605"/>
                    </a:xfrm>
                    <a:prstGeom prst="rect">
                      <a:avLst/>
                    </a:prstGeom>
                    <a:noFill/>
                  </pic:spPr>
                </pic:pic>
              </a:graphicData>
            </a:graphic>
          </wp:anchor>
        </w:drawing>
      </w:r>
    </w:p>
    <w:p>
      <w:pPr>
        <w:spacing w:after="0" w:line="143" w:lineRule="exact"/>
        <w:rPr>
          <w:sz w:val="20"/>
          <w:szCs w:val="20"/>
          <w:color w:val="auto"/>
        </w:rPr>
      </w:pPr>
    </w:p>
    <w:p>
      <w:pPr>
        <w:ind w:left="4210"/>
        <w:spacing w:after="0"/>
        <w:rPr>
          <w:sz w:val="20"/>
          <w:szCs w:val="20"/>
          <w:color w:val="auto"/>
        </w:rPr>
      </w:pPr>
      <w:r>
        <w:rPr>
          <w:rFonts w:ascii="Times New Roman" w:cs="Times New Roman" w:eastAsia="Times New Roman" w:hAnsi="Times New Roman"/>
          <w:sz w:val="15"/>
          <w:szCs w:val="15"/>
          <w:color w:val="auto"/>
        </w:rPr>
        <w:t>Value of a Share after detachment of the subscription warrant</w:t>
      </w:r>
    </w:p>
    <w:p>
      <w:pPr>
        <w:spacing w:after="0" w:line="188" w:lineRule="exact"/>
        <w:rPr>
          <w:sz w:val="20"/>
          <w:szCs w:val="20"/>
          <w:color w:val="auto"/>
        </w:rPr>
      </w:pPr>
    </w:p>
    <w:p>
      <w:pPr>
        <w:ind w:left="810"/>
        <w:spacing w:after="0"/>
        <w:rPr>
          <w:sz w:val="20"/>
          <w:szCs w:val="20"/>
          <w:color w:val="auto"/>
        </w:rPr>
      </w:pPr>
      <w:r>
        <w:rPr>
          <w:rFonts w:ascii="Times New Roman" w:cs="Times New Roman" w:eastAsia="Times New Roman" w:hAnsi="Times New Roman"/>
          <w:sz w:val="15"/>
          <w:szCs w:val="15"/>
          <w:color w:val="auto"/>
        </w:rPr>
        <w:t>For the calculation of this ratio:</w:t>
      </w:r>
    </w:p>
    <w:p>
      <w:pPr>
        <w:spacing w:after="0" w:line="188" w:lineRule="exact"/>
        <w:rPr>
          <w:sz w:val="20"/>
          <w:szCs w:val="20"/>
          <w:color w:val="auto"/>
        </w:rPr>
      </w:pPr>
    </w:p>
    <w:p>
      <w:pPr>
        <w:jc w:val="both"/>
        <w:ind w:left="1150" w:hanging="306"/>
        <w:spacing w:after="0" w:line="257" w:lineRule="auto"/>
        <w:tabs>
          <w:tab w:leader="none" w:pos="1150" w:val="left"/>
        </w:tabs>
        <w:numPr>
          <w:ilvl w:val="1"/>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value of a Share after detachment of the subscription warrant will be equal to the volume-weighted average of (i) the trading prices (if any) of the Shares on the Trading Market therefor on each Trading Day included in the subscription period, and, if there is a rump placement, (ii) either (a) the sale price of the Shares sold in the rump placement (and applying the volume of Shares sold in the offering to the sale price), if such securities are fungible with the Shares, or (b) the trading prices (if any) of the Shares on such Trading Market on the day the sale price for the securities sold in the rump placement is fixed, if such securities are not fungible with the Shares;</w:t>
      </w:r>
    </w:p>
    <w:p>
      <w:pPr>
        <w:spacing w:after="0" w:line="157" w:lineRule="exact"/>
        <w:rPr>
          <w:rFonts w:ascii="Times New Roman" w:cs="Times New Roman" w:eastAsia="Times New Roman" w:hAnsi="Times New Roman"/>
          <w:sz w:val="15"/>
          <w:szCs w:val="15"/>
          <w:color w:val="auto"/>
        </w:rPr>
      </w:pPr>
    </w:p>
    <w:p>
      <w:pPr>
        <w:jc w:val="both"/>
        <w:ind w:left="1150" w:hanging="306"/>
        <w:spacing w:after="0" w:line="257" w:lineRule="auto"/>
        <w:tabs>
          <w:tab w:leader="none" w:pos="1150" w:val="left"/>
        </w:tabs>
        <w:numPr>
          <w:ilvl w:val="1"/>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value of the subscription warrant will be equal to the volume-weighted average of (i) the trading prices (if any) of the subscription warrants on the Trading Market therefor on each Trading Day included in the subscription period, and (ii) the implicit value of the subscription warrants (applying to this amount the corresponding number of warrants exercised in respect of the securities sold in the offering), being equal to either (a) the difference, if positive, adjusted by the warrant exercise ratio, between the sale price of the securities sold in the rump placement and the subscription price of the securities upon the exercise of the subscription warrants, or (b) if such difference as aforesaid is not positive, zero (0).</w:t>
      </w:r>
    </w:p>
    <w:p>
      <w:pPr>
        <w:spacing w:after="0" w:line="157" w:lineRule="exact"/>
        <w:rPr>
          <w:rFonts w:ascii="Times New Roman" w:cs="Times New Roman" w:eastAsia="Times New Roman" w:hAnsi="Times New Roman"/>
          <w:sz w:val="15"/>
          <w:szCs w:val="15"/>
          <w:color w:val="auto"/>
        </w:rPr>
      </w:pPr>
    </w:p>
    <w:p>
      <w:pPr>
        <w:ind w:left="810" w:hanging="270"/>
        <w:spacing w:after="0" w:line="280" w:lineRule="auto"/>
        <w:tabs>
          <w:tab w:leader="none" w:pos="81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 free allocation of Shares to shareholders, or in the event of a consolidation or split of the Shares, the new Exercise Ratio will be determined by the Calculation Agent and will be equal to the product of the Exercise Ratio in effect immediately prior to the relevant Effective Date and the following ratio:</w:t>
      </w:r>
    </w:p>
    <w:p>
      <w:pPr>
        <w:spacing w:after="0" w:line="138"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5"/>
          <w:szCs w:val="15"/>
          <w:color w:val="auto"/>
        </w:rPr>
        <w:t>Number of Shares forming the share capital after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64135</wp:posOffset>
            </wp:positionV>
            <wp:extent cx="6640195"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40195" cy="14605"/>
                    </a:xfrm>
                    <a:prstGeom prst="rect">
                      <a:avLst/>
                    </a:prstGeom>
                    <a:noFill/>
                  </pic:spPr>
                </pic:pic>
              </a:graphicData>
            </a:graphic>
          </wp:anchor>
        </w:drawing>
      </w:r>
    </w:p>
    <w:p>
      <w:pPr>
        <w:spacing w:after="0" w:line="168" w:lineRule="exact"/>
        <w:rPr>
          <w:sz w:val="20"/>
          <w:szCs w:val="20"/>
          <w:color w:val="auto"/>
        </w:rPr>
      </w:pPr>
    </w:p>
    <w:p>
      <w:pPr>
        <w:ind w:left="4030"/>
        <w:spacing w:after="0"/>
        <w:rPr>
          <w:sz w:val="20"/>
          <w:szCs w:val="20"/>
          <w:color w:val="auto"/>
        </w:rPr>
      </w:pPr>
      <w:r>
        <w:rPr>
          <w:rFonts w:ascii="Times New Roman" w:cs="Times New Roman" w:eastAsia="Times New Roman" w:hAnsi="Times New Roman"/>
          <w:sz w:val="15"/>
          <w:szCs w:val="15"/>
          <w:color w:val="auto"/>
        </w:rPr>
        <w:t>Number of Shares forming the share capital before the Transaction</w:t>
      </w:r>
    </w:p>
    <w:p>
      <w:pPr>
        <w:spacing w:after="0" w:line="188" w:lineRule="exact"/>
        <w:rPr>
          <w:sz w:val="20"/>
          <w:szCs w:val="20"/>
          <w:color w:val="auto"/>
        </w:rPr>
      </w:pPr>
    </w:p>
    <w:p>
      <w:pPr>
        <w:ind w:left="810" w:hanging="270"/>
        <w:spacing w:after="0" w:line="280" w:lineRule="auto"/>
        <w:tabs>
          <w:tab w:leader="none" w:pos="81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 capital increase by incorporation of reserves, profits or premiums carried out by increasing the nominal value of the Shares, the Warrant Shares to be delivered upon any exercise of the Warrants will be Shares with a nominal value so increased, and no adjustment shall be required to be made to the Exercise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368300</wp:posOffset>
            </wp:positionV>
            <wp:extent cx="137223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22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 w:right="180" w:hanging="10"/>
        <w:spacing w:after="0" w:line="190" w:lineRule="auto"/>
        <w:tabs>
          <w:tab w:leader="none" w:pos="90" w:val="left"/>
        </w:tabs>
        <w:numPr>
          <w:ilvl w:val="0"/>
          <w:numId w:val="6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Are only concerned warrants which are “substitutes” of preferential subscription rights (exercise price usually lower than the market price, term of the warrant similar to the period of subscription of the capital increase with upholding of the Shareholders’ preferential subscription right, option to “recycle” the non-exercised warrants). The adjustment as a result of a free allocation of standard warrants (exercise price usually greater than the market price, term usually longer, absence of option granted to the beneficiaries to “recycle” the non-exercised warrants) shall be made in accordance with paragraph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15518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5" w:right="319" w:bottom="1440" w:gutter="0" w:footer="0" w:header="0"/>
        </w:sectPr>
      </w:pPr>
    </w:p>
    <w:bookmarkStart w:id="69" w:name="page70"/>
    <w:bookmarkEnd w:id="69"/>
    <w:p>
      <w:pPr>
        <w:ind w:left="270" w:right="20" w:hanging="270"/>
        <w:spacing w:after="0" w:line="280" w:lineRule="auto"/>
        <w:tabs>
          <w:tab w:leader="none" w:pos="27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 distribution of reserves and of any share premiums, either in cash or in kind (securities in portfolio...), the new Exercise Ratio will be determined by the Calculation Agent and will be equal to the product of the Exercise Ratio in effect immediately prior to the relevant Effective Date and the following ratio:</w:t>
      </w:r>
    </w:p>
    <w:p>
      <w:pPr>
        <w:spacing w:after="0" w:line="138"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15"/>
          <w:szCs w:val="15"/>
          <w:color w:val="auto"/>
        </w:rPr>
        <w:t>Value of a Share before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64135</wp:posOffset>
            </wp:positionV>
            <wp:extent cx="6640195"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40195" cy="14605"/>
                    </a:xfrm>
                    <a:prstGeom prst="rect">
                      <a:avLst/>
                    </a:prstGeom>
                    <a:noFill/>
                  </pic:spPr>
                </pic:pic>
              </a:graphicData>
            </a:graphic>
          </wp:anchor>
        </w:drawing>
      </w:r>
    </w:p>
    <w:p>
      <w:pPr>
        <w:spacing w:after="0" w:line="156"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15"/>
          <w:szCs w:val="15"/>
          <w:color w:val="auto"/>
        </w:rPr>
        <w:t>Value of a Share before distribution – Value distributed per Share</w:t>
      </w:r>
    </w:p>
    <w:p>
      <w:pPr>
        <w:spacing w:after="0" w:line="188"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For the calculation of this ratio:</w:t>
      </w:r>
    </w:p>
    <w:p>
      <w:pPr>
        <w:spacing w:after="0" w:line="188" w:lineRule="exact"/>
        <w:rPr>
          <w:sz w:val="20"/>
          <w:szCs w:val="20"/>
          <w:color w:val="auto"/>
        </w:rPr>
      </w:pPr>
    </w:p>
    <w:p>
      <w:pPr>
        <w:ind w:left="610" w:hanging="306"/>
        <w:spacing w:after="0" w:line="280" w:lineRule="auto"/>
        <w:tabs>
          <w:tab w:leader="none" w:pos="61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value of a Share before distribution will be equal to the VWAP of the Shares over the period comprising the last three Trading Days preceding the first Trading Day on which the Shares are traded ex-distribution;</w:t>
      </w:r>
    </w:p>
    <w:p>
      <w:pPr>
        <w:spacing w:after="0" w:line="137" w:lineRule="exact"/>
        <w:rPr>
          <w:rFonts w:ascii="Times New Roman" w:cs="Times New Roman" w:eastAsia="Times New Roman" w:hAnsi="Times New Roman"/>
          <w:sz w:val="15"/>
          <w:szCs w:val="15"/>
          <w:color w:val="auto"/>
        </w:rPr>
      </w:pPr>
    </w:p>
    <w:p>
      <w:pPr>
        <w:ind w:left="610" w:hanging="306"/>
        <w:spacing w:after="0"/>
        <w:tabs>
          <w:tab w:leader="none" w:pos="61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Value distributed per Share will be equal to:</w:t>
      </w:r>
    </w:p>
    <w:p>
      <w:pPr>
        <w:spacing w:after="0" w:line="188" w:lineRule="exact"/>
        <w:rPr>
          <w:sz w:val="20"/>
          <w:szCs w:val="20"/>
          <w:color w:val="auto"/>
        </w:rPr>
      </w:pPr>
    </w:p>
    <w:p>
      <w:pPr>
        <w:jc w:val="both"/>
        <w:ind w:left="810" w:hanging="269"/>
        <w:spacing w:after="0" w:line="260" w:lineRule="auto"/>
        <w:tabs>
          <w:tab w:leader="none" w:pos="81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distribution is made in cash, or is made either in cash or in kind (including but not limited to Shares) at the option of the Shareholders (including but not limited to pursuant to Articles L.232-18 et seq. of the French </w:t>
      </w:r>
      <w:r>
        <w:rPr>
          <w:rFonts w:ascii="Times New Roman" w:cs="Times New Roman" w:eastAsia="Times New Roman" w:hAnsi="Times New Roman"/>
          <w:sz w:val="15"/>
          <w:szCs w:val="15"/>
          <w:i w:val="1"/>
          <w:iCs w:val="1"/>
          <w:color w:val="auto"/>
        </w:rPr>
        <w:t>Code de commerce</w:t>
      </w:r>
      <w:r>
        <w:rPr>
          <w:rFonts w:ascii="Times New Roman" w:cs="Times New Roman" w:eastAsia="Times New Roman" w:hAnsi="Times New Roman"/>
          <w:sz w:val="15"/>
          <w:szCs w:val="15"/>
          <w:color w:val="auto"/>
        </w:rPr>
        <w:t>): the amount of such cash payable per Share (prior to any withholdings and without taking into account any applicable deductions), i.e., disregarding the value of the in-kind property payable in lieu of such cash amount at the option of the Shareholders as aforesaid; or</w:t>
      </w:r>
    </w:p>
    <w:p>
      <w:pPr>
        <w:spacing w:after="0" w:line="153" w:lineRule="exact"/>
        <w:rPr>
          <w:rFonts w:ascii="Times New Roman" w:cs="Times New Roman" w:eastAsia="Times New Roman" w:hAnsi="Times New Roman"/>
          <w:sz w:val="15"/>
          <w:szCs w:val="15"/>
          <w:color w:val="auto"/>
        </w:rPr>
      </w:pPr>
    </w:p>
    <w:p>
      <w:pPr>
        <w:ind w:left="810" w:hanging="269"/>
        <w:spacing w:after="0"/>
        <w:tabs>
          <w:tab w:leader="none" w:pos="81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distribution is made in kind:</w:t>
      </w:r>
    </w:p>
    <w:p>
      <w:pPr>
        <w:spacing w:after="0" w:line="187" w:lineRule="exact"/>
        <w:rPr>
          <w:rFonts w:ascii="Times New Roman" w:cs="Times New Roman" w:eastAsia="Times New Roman" w:hAnsi="Times New Roman"/>
          <w:sz w:val="15"/>
          <w:szCs w:val="15"/>
          <w:color w:val="auto"/>
        </w:rPr>
      </w:pPr>
    </w:p>
    <w:p>
      <w:pPr>
        <w:jc w:val="both"/>
        <w:ind w:left="1350" w:hanging="269"/>
        <w:spacing w:after="0" w:line="260" w:lineRule="auto"/>
        <w:tabs>
          <w:tab w:leader="none" w:pos="1350" w:val="left"/>
        </w:tabs>
        <w:numPr>
          <w:ilvl w:val="1"/>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distribution of securities that are already listed on a stock exchange or other securities market: the VWAP of the securities distributed per Share over the period comprising the last three Trading Days preceding the first Trading Day on which the Shares are traded ex-distribution and on which such securities are traded on the Trading Market in respect thereof (or, if the value distributed per Share cannot be so determined, the value distributed per Share will be determined by an Independent Expert pursuant to the sub-paragraph (c) below),</w:t>
      </w:r>
    </w:p>
    <w:p>
      <w:pPr>
        <w:spacing w:after="0" w:line="153" w:lineRule="exact"/>
        <w:rPr>
          <w:rFonts w:ascii="Times New Roman" w:cs="Times New Roman" w:eastAsia="Times New Roman" w:hAnsi="Times New Roman"/>
          <w:sz w:val="15"/>
          <w:szCs w:val="15"/>
          <w:color w:val="auto"/>
        </w:rPr>
      </w:pPr>
    </w:p>
    <w:p>
      <w:pPr>
        <w:jc w:val="both"/>
        <w:ind w:left="1350" w:hanging="269"/>
        <w:spacing w:after="0" w:line="257" w:lineRule="auto"/>
        <w:tabs>
          <w:tab w:leader="none" w:pos="1350" w:val="left"/>
        </w:tabs>
        <w:numPr>
          <w:ilvl w:val="1"/>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distribution of securities that are not yet listed on a stock exchange or other securities market but are expected to be so listed within the period of ten Trading Days’ period starting from (and including) the Trading Day on which the Shares are first traded ex-distribution: the VWAP of such securities over the period comprising the three first Trading Days included in such ten Trading Days’ period and on which such securities are traded on the Trading Market in respect thereof (or, if the value distributed per Share cannot be so determined, the value distributed per Share will be determined by an Independent Expert pursuant to the sub-paragraph (c) below), and</w:t>
      </w:r>
    </w:p>
    <w:p>
      <w:pPr>
        <w:spacing w:after="0" w:line="157" w:lineRule="exact"/>
        <w:rPr>
          <w:rFonts w:ascii="Times New Roman" w:cs="Times New Roman" w:eastAsia="Times New Roman" w:hAnsi="Times New Roman"/>
          <w:sz w:val="15"/>
          <w:szCs w:val="15"/>
          <w:color w:val="auto"/>
        </w:rPr>
      </w:pPr>
    </w:p>
    <w:p>
      <w:pPr>
        <w:jc w:val="both"/>
        <w:ind w:left="1350" w:hanging="269"/>
        <w:spacing w:after="0" w:line="257" w:lineRule="auto"/>
        <w:tabs>
          <w:tab w:leader="none" w:pos="1350" w:val="left"/>
        </w:tabs>
        <w:numPr>
          <w:ilvl w:val="1"/>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all other cases (including without limitation the distribution of securities that are not listed as aforesaid or are so listed on fewer than three Trading Days within the ten Trading Days’ period mentioned above or distribution of assets or the value of the securities or the assets not being capable of being determined in accordance with the foregoing): such value as is determined by an independent expert of international reputation appointed by the Company, which may include the Calculation Agent acting for this purpose in such capacity (as may be agreed at the relevant time between the Company and the Calculation Agent), appointed from time to time by the Company at its own expense (the “</w:t>
      </w:r>
      <w:r>
        <w:rPr>
          <w:rFonts w:ascii="Times New Roman" w:cs="Times New Roman" w:eastAsia="Times New Roman" w:hAnsi="Times New Roman"/>
          <w:sz w:val="15"/>
          <w:szCs w:val="15"/>
          <w:b w:val="1"/>
          <w:bCs w:val="1"/>
          <w:color w:val="auto"/>
        </w:rPr>
        <w:t>Independent Expert</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208915</wp:posOffset>
            </wp:positionV>
            <wp:extent cx="715518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30"/>
          </w:cols>
          <w:pgMar w:left="850" w:top="305" w:right="319" w:bottom="1440" w:gutter="0" w:footer="0" w:header="0"/>
        </w:sectPr>
      </w:pPr>
    </w:p>
    <w:bookmarkStart w:id="70" w:name="page71"/>
    <w:bookmarkEnd w:id="70"/>
    <w:p>
      <w:pPr>
        <w:ind w:left="270" w:hanging="270"/>
        <w:spacing w:after="0" w:line="280" w:lineRule="auto"/>
        <w:tabs>
          <w:tab w:leader="none" w:pos="27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of a free allocation to shareholders of securities, other than Shares and subject to paragraph 1 (b) above, the new Exercise Ratio will be determined by the Calculation Agent and will be equal to:</w:t>
      </w:r>
    </w:p>
    <w:p>
      <w:pPr>
        <w:spacing w:after="0" w:line="138" w:lineRule="exact"/>
        <w:rPr>
          <w:sz w:val="20"/>
          <w:szCs w:val="20"/>
          <w:color w:val="auto"/>
        </w:rPr>
      </w:pPr>
    </w:p>
    <w:p>
      <w:pPr>
        <w:ind w:left="550" w:hanging="228"/>
        <w:spacing w:after="0" w:line="280" w:lineRule="auto"/>
        <w:rPr>
          <w:sz w:val="20"/>
          <w:szCs w:val="20"/>
          <w:color w:val="auto"/>
        </w:rPr>
      </w:pPr>
      <w:r>
        <w:rPr>
          <w:rFonts w:ascii="Times New Roman" w:cs="Times New Roman" w:eastAsia="Times New Roman" w:hAnsi="Times New Roman"/>
          <w:sz w:val="15"/>
          <w:szCs w:val="15"/>
          <w:color w:val="auto"/>
        </w:rPr>
        <w:t>if the rights to the free allocation of securities are listed on a stock exchange or other securities market, the product of the Exercise Ratio in effect immediately prior to the relevant Effective Date and the following ratio:</w:t>
      </w:r>
    </w:p>
    <w:p>
      <w:pPr>
        <w:spacing w:after="0" w:line="138"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5"/>
          <w:szCs w:val="15"/>
          <w:color w:val="auto"/>
        </w:rPr>
        <w:t>Share price ex-right to free allocation + value of the right to free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64135</wp:posOffset>
            </wp:positionV>
            <wp:extent cx="6468745"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68745" cy="14605"/>
                    </a:xfrm>
                    <a:prstGeom prst="rect">
                      <a:avLst/>
                    </a:prstGeom>
                    <a:noFill/>
                  </pic:spPr>
                </pic:pic>
              </a:graphicData>
            </a:graphic>
          </wp:anchor>
        </w:drawing>
      </w:r>
    </w:p>
    <w:p>
      <w:pPr>
        <w:spacing w:after="0" w:line="156" w:lineRule="exact"/>
        <w:rPr>
          <w:sz w:val="20"/>
          <w:szCs w:val="20"/>
          <w:color w:val="auto"/>
        </w:rPr>
      </w:pPr>
    </w:p>
    <w:p>
      <w:pPr>
        <w:ind w:left="4510"/>
        <w:spacing w:after="0"/>
        <w:rPr>
          <w:sz w:val="20"/>
          <w:szCs w:val="20"/>
          <w:color w:val="auto"/>
        </w:rPr>
      </w:pPr>
      <w:r>
        <w:rPr>
          <w:rFonts w:ascii="Times New Roman" w:cs="Times New Roman" w:eastAsia="Times New Roman" w:hAnsi="Times New Roman"/>
          <w:sz w:val="15"/>
          <w:szCs w:val="15"/>
          <w:color w:val="auto"/>
        </w:rPr>
        <w:t>Share price ex-right to free allocation</w:t>
      </w:r>
    </w:p>
    <w:p>
      <w:pPr>
        <w:spacing w:after="0" w:line="188"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For the calculation of this ratio:</w:t>
      </w:r>
    </w:p>
    <w:p>
      <w:pPr>
        <w:spacing w:after="0" w:line="188" w:lineRule="exact"/>
        <w:rPr>
          <w:sz w:val="20"/>
          <w:szCs w:val="20"/>
          <w:color w:val="auto"/>
        </w:rPr>
      </w:pPr>
    </w:p>
    <w:p>
      <w:pPr>
        <w:ind w:left="610" w:right="20" w:hanging="306"/>
        <w:spacing w:after="0" w:line="280" w:lineRule="auto"/>
        <w:tabs>
          <w:tab w:leader="none" w:pos="61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value of the Share price ex-right of free allocation will be equal to the VWAP of the Shares over the period comprising the first ten Trading Days starting on the Trading Day on which the Shares are first traded ex-right of free allocation;</w:t>
      </w:r>
    </w:p>
    <w:p>
      <w:pPr>
        <w:spacing w:after="0" w:line="137" w:lineRule="exact"/>
        <w:rPr>
          <w:rFonts w:ascii="Times New Roman" w:cs="Times New Roman" w:eastAsia="Times New Roman" w:hAnsi="Times New Roman"/>
          <w:sz w:val="15"/>
          <w:szCs w:val="15"/>
          <w:color w:val="auto"/>
        </w:rPr>
      </w:pPr>
    </w:p>
    <w:p>
      <w:pPr>
        <w:ind w:left="610" w:hanging="306"/>
        <w:spacing w:after="0"/>
        <w:tabs>
          <w:tab w:leader="none" w:pos="61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value of the right to free allocation will be equal to the VWAP of the right to free allocation over the ten Trading Days’ period referred to above.</w:t>
      </w:r>
    </w:p>
    <w:p>
      <w:pPr>
        <w:spacing w:after="0" w:line="188" w:lineRule="exact"/>
        <w:rPr>
          <w:sz w:val="20"/>
          <w:szCs w:val="20"/>
          <w:color w:val="auto"/>
        </w:rPr>
      </w:pPr>
    </w:p>
    <w:p>
      <w:pPr>
        <w:ind w:left="310"/>
        <w:spacing w:after="0" w:line="280" w:lineRule="auto"/>
        <w:rPr>
          <w:sz w:val="20"/>
          <w:szCs w:val="20"/>
          <w:color w:val="auto"/>
        </w:rPr>
      </w:pPr>
      <w:r>
        <w:rPr>
          <w:rFonts w:ascii="Times New Roman" w:cs="Times New Roman" w:eastAsia="Times New Roman" w:hAnsi="Times New Roman"/>
          <w:sz w:val="15"/>
          <w:szCs w:val="15"/>
          <w:color w:val="auto"/>
        </w:rPr>
        <w:t>If the right to free allocation is not traded on the Trading Market in respect thereof on each of the ten Trading Days referred to above, its value will be determined by an Independent Expert instead.</w:t>
      </w:r>
    </w:p>
    <w:p>
      <w:pPr>
        <w:spacing w:after="0" w:line="138" w:lineRule="exact"/>
        <w:rPr>
          <w:sz w:val="20"/>
          <w:szCs w:val="20"/>
          <w:color w:val="auto"/>
        </w:rPr>
      </w:pPr>
    </w:p>
    <w:p>
      <w:pPr>
        <w:ind w:left="550" w:hanging="228"/>
        <w:spacing w:after="0" w:line="280" w:lineRule="auto"/>
        <w:rPr>
          <w:sz w:val="20"/>
          <w:szCs w:val="20"/>
          <w:color w:val="auto"/>
        </w:rPr>
      </w:pPr>
      <w:r>
        <w:rPr>
          <w:rFonts w:ascii="Times New Roman" w:cs="Times New Roman" w:eastAsia="Times New Roman" w:hAnsi="Times New Roman"/>
          <w:sz w:val="15"/>
          <w:szCs w:val="15"/>
          <w:color w:val="auto"/>
        </w:rPr>
        <w:t>if the right to free allocation of securities are not listed on a stock exchange or other securities market or the value of the right to free allocation cannot be determined as provided in (a) above, the product of the Exercise Ratio in effect immediately prior to the relevant Effective Date and the following ratio:</w:t>
      </w:r>
    </w:p>
    <w:p>
      <w:pPr>
        <w:spacing w:after="0" w:line="138" w:lineRule="exact"/>
        <w:rPr>
          <w:sz w:val="20"/>
          <w:szCs w:val="20"/>
          <w:color w:val="auto"/>
        </w:rPr>
      </w:pPr>
    </w:p>
    <w:p>
      <w:pPr>
        <w:ind w:left="4510"/>
        <w:spacing w:after="0"/>
        <w:rPr>
          <w:sz w:val="20"/>
          <w:szCs w:val="20"/>
          <w:color w:val="auto"/>
        </w:rPr>
      </w:pPr>
      <w:r>
        <w:rPr>
          <w:rFonts w:ascii="Times New Roman" w:cs="Times New Roman" w:eastAsia="Times New Roman" w:hAnsi="Times New Roman"/>
          <w:sz w:val="15"/>
          <w:szCs w:val="15"/>
          <w:color w:val="auto"/>
        </w:rPr>
        <w:t>Share price ex-right to free allocation</w:t>
      </w:r>
    </w:p>
    <w:p>
      <w:pPr>
        <w:spacing w:after="0" w:line="21" w:lineRule="exact"/>
        <w:rPr>
          <w:sz w:val="20"/>
          <w:szCs w:val="20"/>
          <w:color w:val="auto"/>
        </w:rPr>
      </w:pPr>
    </w:p>
    <w:p>
      <w:pPr>
        <w:ind w:left="4510" w:right="3480" w:hanging="482"/>
        <w:spacing w:after="0" w:line="491" w:lineRule="auto"/>
        <w:tabs>
          <w:tab w:leader="none" w:pos="4148"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Value of that/those security(ies) allocated per Share Share price ex-right to free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-282575</wp:posOffset>
            </wp:positionV>
            <wp:extent cx="6468745"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68745" cy="14605"/>
                    </a:xfrm>
                    <a:prstGeom prst="rect">
                      <a:avLst/>
                    </a:prstGeom>
                    <a:noFill/>
                  </pic:spPr>
                </pic:pic>
              </a:graphicData>
            </a:graphic>
          </wp:anchor>
        </w:drawing>
      </w:r>
    </w:p>
    <w:p>
      <w:pPr>
        <w:ind w:left="550"/>
        <w:spacing w:after="0"/>
        <w:rPr>
          <w:sz w:val="20"/>
          <w:szCs w:val="20"/>
          <w:color w:val="auto"/>
        </w:rPr>
      </w:pPr>
      <w:r>
        <w:rPr>
          <w:rFonts w:ascii="Times New Roman" w:cs="Times New Roman" w:eastAsia="Times New Roman" w:hAnsi="Times New Roman"/>
          <w:sz w:val="15"/>
          <w:szCs w:val="15"/>
          <w:color w:val="auto"/>
        </w:rPr>
        <w:t>For the calculation of this ratio:</w:t>
      </w:r>
    </w:p>
    <w:p>
      <w:pPr>
        <w:spacing w:after="0" w:line="188" w:lineRule="exact"/>
        <w:rPr>
          <w:sz w:val="20"/>
          <w:szCs w:val="20"/>
          <w:color w:val="auto"/>
        </w:rPr>
      </w:pPr>
    </w:p>
    <w:p>
      <w:pPr>
        <w:ind w:left="610" w:hanging="306"/>
        <w:spacing w:after="0"/>
        <w:tabs>
          <w:tab w:leader="none" w:pos="61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 price ex-right to allocation will be determined as in paragraph (a) above;</w:t>
      </w:r>
    </w:p>
    <w:p>
      <w:pPr>
        <w:spacing w:after="0" w:line="187" w:lineRule="exact"/>
        <w:rPr>
          <w:rFonts w:ascii="Times New Roman" w:cs="Times New Roman" w:eastAsia="Times New Roman" w:hAnsi="Times New Roman"/>
          <w:sz w:val="15"/>
          <w:szCs w:val="15"/>
          <w:color w:val="auto"/>
        </w:rPr>
      </w:pPr>
    </w:p>
    <w:p>
      <w:pPr>
        <w:jc w:val="both"/>
        <w:ind w:left="610" w:hanging="306"/>
        <w:spacing w:after="0" w:line="257" w:lineRule="auto"/>
        <w:tabs>
          <w:tab w:leader="none" w:pos="61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these securities are listed or are to be listed on a stock exchange or other securities market within the period of the first ten Trading Days starting from (and including) the Trading Day on which the Shares are first traded ex-distribution, the value of the securities allocated per Share will be equal to the VWAP of these securities over the period comprising the first three Trading Days included in such ten Trading Days’ period and on which said securities are traded on the Trading Market therefor. If the allocated securities are not traded on such Trading Market on at least three Trading Days during such ten Trading Days’ period, the value of these securities will be determined by an Independent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201930</wp:posOffset>
            </wp:positionV>
            <wp:extent cx="715518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30"/>
          </w:cols>
          <w:pgMar w:left="850" w:top="305" w:right="319" w:bottom="1440" w:gutter="0" w:footer="0" w:header="0"/>
        </w:sectPr>
      </w:pPr>
    </w:p>
    <w:bookmarkStart w:id="71" w:name="page72"/>
    <w:bookmarkEnd w:id="71"/>
    <w:p>
      <w:pPr>
        <w:jc w:val="both"/>
        <w:ind w:left="270" w:hanging="270"/>
        <w:spacing w:after="0" w:line="266" w:lineRule="auto"/>
        <w:tabs>
          <w:tab w:leader="none" w:pos="27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of an absorption of the Company by another company (</w:t>
      </w:r>
      <w:r>
        <w:rPr>
          <w:rFonts w:ascii="Times New Roman" w:cs="Times New Roman" w:eastAsia="Times New Roman" w:hAnsi="Times New Roman"/>
          <w:sz w:val="15"/>
          <w:szCs w:val="15"/>
          <w:i w:val="1"/>
          <w:iCs w:val="1"/>
          <w:color w:val="auto"/>
        </w:rPr>
        <w:t>fusion par absorption</w:t>
      </w:r>
      <w:r>
        <w:rPr>
          <w:rFonts w:ascii="Times New Roman" w:cs="Times New Roman" w:eastAsia="Times New Roman" w:hAnsi="Times New Roman"/>
          <w:sz w:val="15"/>
          <w:szCs w:val="15"/>
          <w:color w:val="auto"/>
        </w:rPr>
        <w:t>) or a merger with one or more companies resulting in the incorporation of a new company (</w:t>
      </w:r>
      <w:r>
        <w:rPr>
          <w:rFonts w:ascii="Times New Roman" w:cs="Times New Roman" w:eastAsia="Times New Roman" w:hAnsi="Times New Roman"/>
          <w:sz w:val="15"/>
          <w:szCs w:val="15"/>
          <w:i w:val="1"/>
          <w:iCs w:val="1"/>
          <w:color w:val="auto"/>
        </w:rPr>
        <w:t>fusion par création d’une nouvelle société</w:t>
      </w:r>
      <w:r>
        <w:rPr>
          <w:rFonts w:ascii="Times New Roman" w:cs="Times New Roman" w:eastAsia="Times New Roman" w:hAnsi="Times New Roman"/>
          <w:sz w:val="15"/>
          <w:szCs w:val="15"/>
          <w:color w:val="auto"/>
        </w:rPr>
        <w:t>), a spin-off or division (</w:t>
      </w:r>
      <w:r>
        <w:rPr>
          <w:rFonts w:ascii="Times New Roman" w:cs="Times New Roman" w:eastAsia="Times New Roman" w:hAnsi="Times New Roman"/>
          <w:sz w:val="15"/>
          <w:szCs w:val="15"/>
          <w:i w:val="1"/>
          <w:iCs w:val="1"/>
          <w:color w:val="auto"/>
        </w:rPr>
        <w:t>scission</w:t>
      </w:r>
      <w:r>
        <w:rPr>
          <w:rFonts w:ascii="Times New Roman" w:cs="Times New Roman" w:eastAsia="Times New Roman" w:hAnsi="Times New Roman"/>
          <w:sz w:val="15"/>
          <w:szCs w:val="15"/>
          <w:color w:val="auto"/>
        </w:rPr>
        <w:t>) of the Company, the exercise of the Warrants will allow allocation of shares of the absorbing company or the new company(ies) or the company(ies) resulting from any division or spin-off.</w:t>
      </w:r>
    </w:p>
    <w:p>
      <w:pPr>
        <w:spacing w:after="0" w:line="148" w:lineRule="exact"/>
        <w:rPr>
          <w:rFonts w:ascii="Times New Roman" w:cs="Times New Roman" w:eastAsia="Times New Roman" w:hAnsi="Times New Roman"/>
          <w:sz w:val="15"/>
          <w:szCs w:val="15"/>
          <w:color w:val="auto"/>
        </w:rPr>
      </w:pPr>
    </w:p>
    <w:p>
      <w:pPr>
        <w:jc w:val="both"/>
        <w:ind w:left="270"/>
        <w:spacing w:after="0" w:line="26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new Exercise Ratio will be determined by the Calculation Agent (if the Calculation Agent determines in its sole discretion it is capable of making such adjustment) or (otherwise) by an Independent Expert by multiplying the Exercise Ratio in effect immediately prior to the relevant Effective Date by the exchange ratio of the Shares against the shares of the absorbing company or the new company(ies) or the company(ies) resulting from any division or spin-off. These companies will be fully subrogated to the Company’s rights and obligations towards the Holders.</w:t>
      </w:r>
    </w:p>
    <w:p>
      <w:pPr>
        <w:spacing w:after="0" w:line="153" w:lineRule="exact"/>
        <w:rPr>
          <w:rFonts w:ascii="Times New Roman" w:cs="Times New Roman" w:eastAsia="Times New Roman" w:hAnsi="Times New Roman"/>
          <w:sz w:val="15"/>
          <w:szCs w:val="15"/>
          <w:color w:val="auto"/>
        </w:rPr>
      </w:pPr>
    </w:p>
    <w:p>
      <w:pPr>
        <w:jc w:val="both"/>
        <w:ind w:left="270" w:hanging="270"/>
        <w:spacing w:after="0" w:line="265" w:lineRule="auto"/>
        <w:tabs>
          <w:tab w:leader="none" w:pos="27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of a buyback by the Company of its own Shares (except for buybacks made pursuant to Article L. 22-10-62 of the French Commercial Code) at a price higher than the stock exchange price, the new Exercise Ratio will be determined by the Calculation Agent and will be equal to the product of the Exercise Ratio in effect immediately prior to the relevant Effective Date and the following ratio:</w:t>
      </w:r>
    </w:p>
    <w:p>
      <w:pPr>
        <w:spacing w:after="0" w:line="149"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15"/>
          <w:szCs w:val="15"/>
          <w:color w:val="auto"/>
        </w:rPr>
        <w:t>Share price x (1 –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64135</wp:posOffset>
            </wp:positionV>
            <wp:extent cx="6640195"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40195" cy="14605"/>
                    </a:xfrm>
                    <a:prstGeom prst="rect">
                      <a:avLst/>
                    </a:prstGeom>
                    <a:noFill/>
                  </pic:spPr>
                </pic:pic>
              </a:graphicData>
            </a:graphic>
          </wp:anchor>
        </w:drawing>
      </w:r>
    </w:p>
    <w:p>
      <w:pPr>
        <w:spacing w:after="0" w:line="156"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15"/>
          <w:szCs w:val="15"/>
          <w:color w:val="auto"/>
        </w:rPr>
        <w:t>Share price – Pc% x Buyback price</w:t>
      </w:r>
    </w:p>
    <w:p>
      <w:pPr>
        <w:spacing w:after="0" w:line="188"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For the calculation of this ratio:</w:t>
      </w:r>
    </w:p>
    <w:p>
      <w:pPr>
        <w:spacing w:after="0" w:line="188" w:lineRule="exact"/>
        <w:rPr>
          <w:sz w:val="20"/>
          <w:szCs w:val="20"/>
          <w:color w:val="auto"/>
        </w:rPr>
      </w:pPr>
    </w:p>
    <w:p>
      <w:pPr>
        <w:ind w:left="510" w:hanging="206"/>
        <w:spacing w:after="0"/>
        <w:tabs>
          <w:tab w:leader="none" w:pos="510" w:val="left"/>
        </w:tabs>
        <w:numPr>
          <w:ilvl w:val="1"/>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 price means the VWAP of the Shares over the period comprising the last three Trading Days preceding the buyback (or the ability of buyback):</w:t>
      </w:r>
    </w:p>
    <w:p>
      <w:pPr>
        <w:spacing w:after="0" w:line="187" w:lineRule="exact"/>
        <w:rPr>
          <w:rFonts w:ascii="Times New Roman" w:cs="Times New Roman" w:eastAsia="Times New Roman" w:hAnsi="Times New Roman"/>
          <w:sz w:val="15"/>
          <w:szCs w:val="15"/>
          <w:color w:val="auto"/>
        </w:rPr>
      </w:pPr>
    </w:p>
    <w:p>
      <w:pPr>
        <w:ind w:left="510" w:hanging="206"/>
        <w:spacing w:after="0"/>
        <w:tabs>
          <w:tab w:leader="none" w:pos="510" w:val="left"/>
        </w:tabs>
        <w:numPr>
          <w:ilvl w:val="1"/>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Pc% means the percentage of total share capital repurchased; and</w:t>
      </w:r>
    </w:p>
    <w:p>
      <w:pPr>
        <w:spacing w:after="0" w:line="187" w:lineRule="exact"/>
        <w:rPr>
          <w:rFonts w:ascii="Times New Roman" w:cs="Times New Roman" w:eastAsia="Times New Roman" w:hAnsi="Times New Roman"/>
          <w:sz w:val="15"/>
          <w:szCs w:val="15"/>
          <w:color w:val="auto"/>
        </w:rPr>
      </w:pPr>
    </w:p>
    <w:p>
      <w:pPr>
        <w:ind w:left="510" w:hanging="206"/>
        <w:spacing w:after="0"/>
        <w:tabs>
          <w:tab w:leader="none" w:pos="510" w:val="left"/>
        </w:tabs>
        <w:numPr>
          <w:ilvl w:val="1"/>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Buyback price means the effective buyback price.</w:t>
      </w:r>
    </w:p>
    <w:p>
      <w:pPr>
        <w:spacing w:after="0" w:line="187" w:lineRule="exact"/>
        <w:rPr>
          <w:rFonts w:ascii="Times New Roman" w:cs="Times New Roman" w:eastAsia="Times New Roman" w:hAnsi="Times New Roman"/>
          <w:sz w:val="15"/>
          <w:szCs w:val="15"/>
          <w:color w:val="auto"/>
        </w:rPr>
      </w:pPr>
    </w:p>
    <w:p>
      <w:pPr>
        <w:ind w:left="270" w:hanging="270"/>
        <w:spacing w:after="0" w:line="280" w:lineRule="auto"/>
        <w:tabs>
          <w:tab w:leader="none" w:pos="27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of amortization of the share capital of the Company, the new Exercise Ratio will be determined by the Calculation Agent and will be equal to the product of the Exercise Ratio in effect immediately prior to the relevant Effective Date and the following ratio:</w:t>
      </w:r>
    </w:p>
    <w:p>
      <w:pPr>
        <w:spacing w:after="0" w:line="138"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15"/>
          <w:szCs w:val="15"/>
          <w:color w:val="auto"/>
        </w:rPr>
        <w:t>Value of a Share before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64135</wp:posOffset>
            </wp:positionV>
            <wp:extent cx="6640195"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40195" cy="14605"/>
                    </a:xfrm>
                    <a:prstGeom prst="rect">
                      <a:avLst/>
                    </a:prstGeom>
                    <a:noFill/>
                  </pic:spPr>
                </pic:pic>
              </a:graphicData>
            </a:graphic>
          </wp:anchor>
        </w:drawing>
      </w:r>
    </w:p>
    <w:p>
      <w:pPr>
        <w:spacing w:after="0" w:line="168"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15"/>
          <w:szCs w:val="15"/>
          <w:color w:val="auto"/>
        </w:rPr>
        <w:t>Value of a Share before amortization - amount of the amortization per Share</w:t>
      </w:r>
    </w:p>
    <w:p>
      <w:pPr>
        <w:spacing w:after="0" w:line="188" w:lineRule="exact"/>
        <w:rPr>
          <w:sz w:val="20"/>
          <w:szCs w:val="20"/>
          <w:color w:val="auto"/>
        </w:rPr>
      </w:pPr>
    </w:p>
    <w:p>
      <w:pPr>
        <w:jc w:val="both"/>
        <w:ind w:left="270"/>
        <w:spacing w:after="0" w:line="265" w:lineRule="auto"/>
        <w:rPr>
          <w:sz w:val="20"/>
          <w:szCs w:val="20"/>
          <w:color w:val="auto"/>
        </w:rPr>
      </w:pPr>
      <w:r>
        <w:rPr>
          <w:rFonts w:ascii="Times New Roman" w:cs="Times New Roman" w:eastAsia="Times New Roman" w:hAnsi="Times New Roman"/>
          <w:sz w:val="15"/>
          <w:szCs w:val="15"/>
          <w:color w:val="auto"/>
        </w:rPr>
        <w:t>For the calculation of the ratio, the Share value before amortization will be equal to the VWAP of the Shares over the period comprising the last three Trading Days preceding the Trading Day on which the Shares are first traded ex-amortization, and the amount of the amortization per Share, if other than cash, shall be determined by an Independent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196850</wp:posOffset>
            </wp:positionV>
            <wp:extent cx="715518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30"/>
          </w:cols>
          <w:pgMar w:left="850" w:top="303" w:right="319" w:bottom="1440" w:gutter="0" w:footer="0" w:header="0"/>
        </w:sectPr>
      </w:pPr>
    </w:p>
    <w:bookmarkStart w:id="72" w:name="page73"/>
    <w:bookmarkEnd w:id="72"/>
    <w:p>
      <w:pPr>
        <w:ind w:left="270" w:hanging="270"/>
        <w:spacing w:after="0" w:line="280" w:lineRule="auto"/>
        <w:tabs>
          <w:tab w:leader="none" w:pos="27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In case of a change in the allocation of profits and/or creation of new preferred shares resulting in such modification by the Company, the new Exercise Ratio will be determined by the Calculation Agent and will be equal to the product of the Exercise Ratio in effect immediately prior to the relevant Effective Date and the following ratio:</w:t>
      </w:r>
    </w:p>
    <w:p>
      <w:pPr>
        <w:spacing w:after="0" w:line="138"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15"/>
          <w:szCs w:val="15"/>
          <w:color w:val="auto"/>
        </w:rPr>
        <w:t>Share price before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64135</wp:posOffset>
            </wp:positionV>
            <wp:extent cx="6640195"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40195" cy="14605"/>
                    </a:xfrm>
                    <a:prstGeom prst="rect">
                      <a:avLst/>
                    </a:prstGeom>
                    <a:noFill/>
                  </pic:spPr>
                </pic:pic>
              </a:graphicData>
            </a:graphic>
          </wp:anchor>
        </w:drawing>
      </w:r>
    </w:p>
    <w:p>
      <w:pPr>
        <w:spacing w:after="0" w:line="156"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15"/>
          <w:szCs w:val="15"/>
          <w:color w:val="auto"/>
        </w:rPr>
        <w:t>Share price before modification - reduction per Share of the right to profits.</w:t>
      </w:r>
    </w:p>
    <w:p>
      <w:pPr>
        <w:spacing w:after="0" w:line="188"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For the calculation of this ratio:</w:t>
      </w:r>
    </w:p>
    <w:p>
      <w:pPr>
        <w:spacing w:after="0" w:line="188" w:lineRule="exact"/>
        <w:rPr>
          <w:sz w:val="20"/>
          <w:szCs w:val="20"/>
          <w:color w:val="auto"/>
        </w:rPr>
      </w:pPr>
    </w:p>
    <w:p>
      <w:pPr>
        <w:ind w:left="510" w:hanging="206"/>
        <w:spacing w:after="0"/>
        <w:tabs>
          <w:tab w:leader="none" w:pos="51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 price before modification means the VWAP of the Shares over the period comprising the last three Trading Days preceding the date of modification;</w:t>
      </w:r>
    </w:p>
    <w:p>
      <w:pPr>
        <w:spacing w:after="0" w:line="187" w:lineRule="exact"/>
        <w:rPr>
          <w:rFonts w:ascii="Times New Roman" w:cs="Times New Roman" w:eastAsia="Times New Roman" w:hAnsi="Times New Roman"/>
          <w:sz w:val="15"/>
          <w:szCs w:val="15"/>
          <w:color w:val="auto"/>
        </w:rPr>
      </w:pPr>
    </w:p>
    <w:p>
      <w:pPr>
        <w:ind w:left="510" w:hanging="206"/>
        <w:spacing w:after="0" w:line="280" w:lineRule="auto"/>
        <w:tabs>
          <w:tab w:leader="none" w:pos="51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reduction per Share on the right to profits will be determined by an Independent Expert and will be submitted to the approval of the Holders’ General Meeting (as defined in Section 7).</w:t>
      </w:r>
    </w:p>
    <w:p>
      <w:pPr>
        <w:spacing w:after="0" w:line="138" w:lineRule="exact"/>
        <w:rPr>
          <w:sz w:val="20"/>
          <w:szCs w:val="20"/>
          <w:color w:val="auto"/>
        </w:rPr>
      </w:pPr>
    </w:p>
    <w:p>
      <w:pPr>
        <w:ind w:left="270" w:right="20"/>
        <w:spacing w:after="0" w:line="280" w:lineRule="auto"/>
        <w:rPr>
          <w:sz w:val="20"/>
          <w:szCs w:val="20"/>
          <w:color w:val="auto"/>
        </w:rPr>
      </w:pPr>
      <w:r>
        <w:rPr>
          <w:rFonts w:ascii="Times New Roman" w:cs="Times New Roman" w:eastAsia="Times New Roman" w:hAnsi="Times New Roman"/>
          <w:sz w:val="15"/>
          <w:szCs w:val="15"/>
          <w:color w:val="auto"/>
        </w:rPr>
        <w:t>If however these preferred Shares are issued with shareholders’ preferential subscription rights or by free distribution of Warrants to subscribe to such preferred shares, the new Exercise Ratio will be adjusted in accordance to paragraphs 1 or 5 above, as applicable.</w:t>
      </w:r>
    </w:p>
    <w:p>
      <w:pPr>
        <w:spacing w:after="0" w:line="138" w:lineRule="exact"/>
        <w:rPr>
          <w:sz w:val="20"/>
          <w:szCs w:val="20"/>
          <w:color w:val="auto"/>
        </w:rPr>
      </w:pPr>
    </w:p>
    <w:p>
      <w:pPr>
        <w:ind w:left="270" w:firstLine="1"/>
        <w:spacing w:after="0" w:line="280" w:lineRule="auto"/>
        <w:tabs>
          <w:tab w:leader="none" w:pos="49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of creation of preferred shares without a modification in the distribution of profits, the adjustment of the Exercise Ratio (if any) that would be necessary will be determined by the Independent Expert.</w:t>
      </w:r>
    </w:p>
    <w:p>
      <w:pPr>
        <w:spacing w:after="0" w:line="138"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If the Company were to carry out transactions where an adjustment had not been completed under paragraphs 1 to 9 above, and a later law or regulations require an adjustment, the Company shall undertake such adjustment in accordance with the law or regulations then applicable and the market practice observed in France. In the event of an adjustment, the new exercise conditions will be notified to the Holders pursuant to Section 13 within three (3) Business Days of the relevant Effective Date. The Company’s Board of Directors will report the calculation and results of any adjustment in the annual report following such adjustment.</w:t>
      </w:r>
    </w:p>
    <w:p>
      <w:pPr>
        <w:spacing w:after="0" w:line="151" w:lineRule="exact"/>
        <w:rPr>
          <w:sz w:val="20"/>
          <w:szCs w:val="20"/>
          <w:color w:val="auto"/>
        </w:rPr>
      </w:pPr>
    </w:p>
    <w:p>
      <w:pPr>
        <w:ind w:left="210" w:hanging="210"/>
        <w:spacing w:after="0"/>
        <w:tabs>
          <w:tab w:leader="none" w:pos="21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Retroactive Adjustments</w:t>
      </w:r>
    </w:p>
    <w:p>
      <w:pPr>
        <w:spacing w:after="0" w:line="190"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If the Record Date for a transaction giving rise to an adjustment of the Exercise Ratio pursuant to Section 5(a) or Section 10 occurs prior to the date of delivery of the Shares required to be delivered pursuant to any exercise of Warrants (and whether such Record Date falls prior to, on or after the Exercise Date), the holder of such Warrants will have no right to participate in, and will have no right to indemnification in respect of, such transaction subject to their right to an adjustment of the Exercise Ratio until the delivery date of the Shares (exclusive) in accordance with these Terms and Conditions.</w:t>
      </w:r>
    </w:p>
    <w:p>
      <w:pPr>
        <w:spacing w:after="0" w:line="153"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5"/>
          <w:szCs w:val="15"/>
          <w:color w:val="auto"/>
        </w:rPr>
        <w:t>If the Record Date for a transaction giving rise to an adjustment of the Exercise Ratio pursuant to Section 5(a) or Section 10 occurs prior to the date of delivery of the Shares (other than Additional Shares) required to be delivered pursuant to any exercise of Warrants (and whether such Record Date falls prior to, on or after the Exercise Date) in circumstances where the Exercise Ratio in effect as of the relevant Exercise Date does not reflect the relevant adjustment in respect of such transaction, the Company will deliver to the relevant holder of such Warrants such number (as determined by the Calculation Agent) of additional Shares (the “</w:t>
      </w:r>
      <w:r>
        <w:rPr>
          <w:rFonts w:ascii="Times New Roman" w:cs="Times New Roman" w:eastAsia="Times New Roman" w:hAnsi="Times New Roman"/>
          <w:sz w:val="15"/>
          <w:szCs w:val="15"/>
          <w:b w:val="1"/>
          <w:bCs w:val="1"/>
          <w:color w:val="auto"/>
        </w:rPr>
        <w:t>Additional Shares</w:t>
      </w:r>
      <w:r>
        <w:rPr>
          <w:rFonts w:ascii="Times New Roman" w:cs="Times New Roman" w:eastAsia="Times New Roman" w:hAnsi="Times New Roman"/>
          <w:sz w:val="15"/>
          <w:szCs w:val="15"/>
          <w:color w:val="auto"/>
        </w:rPr>
        <w:t>”), as, together with the number of Shares required to be delivered based on the Exercise Ratio in effect on the Exercise Date (including for this purpose any fraction of a Share not delivered pursuant to Section 4), is equal to such number of Shares as would have been required to be delivered had the Exercise Ratio adjusted in respect of such transaction been in effect on such Exercise Date.</w:t>
      </w:r>
    </w:p>
    <w:p>
      <w:pPr>
        <w:spacing w:after="0" w:line="157" w:lineRule="exact"/>
        <w:rPr>
          <w:sz w:val="20"/>
          <w:szCs w:val="20"/>
          <w:color w:val="auto"/>
        </w:rPr>
      </w:pPr>
    </w:p>
    <w:p>
      <w:pPr>
        <w:jc w:val="both"/>
        <w:ind w:left="10"/>
        <w:spacing w:after="0" w:line="265" w:lineRule="auto"/>
        <w:rPr>
          <w:sz w:val="20"/>
          <w:szCs w:val="20"/>
          <w:color w:val="auto"/>
        </w:rPr>
      </w:pPr>
      <w:r>
        <w:rPr>
          <w:rFonts w:ascii="Times New Roman" w:cs="Times New Roman" w:eastAsia="Times New Roman" w:hAnsi="Times New Roman"/>
          <w:sz w:val="15"/>
          <w:szCs w:val="15"/>
          <w:color w:val="auto"/>
        </w:rPr>
        <w:t>The relevant holder of such Warrants will receive delivery of the Additional Shares (i) on or prior to the Exercised Shares Delivery Date or (ii) if the number of Additional Shares could not be determined by the Calculation Agent in time for such delivery to be made on or prior to the Exercised Shares Delivery Date, as soon as practicable after such determination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203835</wp:posOffset>
            </wp:positionV>
            <wp:extent cx="715518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30"/>
          </w:cols>
          <w:pgMar w:left="850" w:top="30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b w:val="1"/>
          <w:bCs w:val="1"/>
          <w:color w:val="auto"/>
        </w:rPr>
        <w:t>Form, Title and Transfer of Warrants; Registration of Warrants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Warrants will be held in dematerialized pure nominative form (</w:t>
      </w:r>
      <w:r>
        <w:rPr>
          <w:rFonts w:ascii="Times New Roman" w:cs="Times New Roman" w:eastAsia="Times New Roman" w:hAnsi="Times New Roman"/>
          <w:sz w:val="15"/>
          <w:szCs w:val="15"/>
          <w:i w:val="1"/>
          <w:iCs w:val="1"/>
          <w:color w:val="auto"/>
        </w:rPr>
        <w:t>au nominatif pur</w:t>
      </w:r>
      <w:r>
        <w:rPr>
          <w:rFonts w:ascii="Times New Roman" w:cs="Times New Roman" w:eastAsia="Times New Roman" w:hAnsi="Times New Roman"/>
          <w:sz w:val="15"/>
          <w:szCs w:val="15"/>
          <w:color w:val="auto"/>
        </w:rPr>
        <w:t>) in the securities account opened in the name of the Holder in the books of the Registrar.</w:t>
      </w:r>
    </w:p>
    <w:p>
      <w:pPr>
        <w:spacing w:after="0" w:line="190" w:lineRule="exact"/>
        <w:rPr>
          <w:sz w:val="20"/>
          <w:szCs w:val="20"/>
          <w:color w:val="auto"/>
        </w:rPr>
      </w:pPr>
    </w:p>
    <w:p>
      <w:pPr>
        <w:jc w:val="both"/>
        <w:ind w:left="540"/>
        <w:spacing w:after="0" w:line="265" w:lineRule="auto"/>
        <w:rPr>
          <w:sz w:val="20"/>
          <w:szCs w:val="20"/>
          <w:color w:val="auto"/>
        </w:rPr>
      </w:pPr>
      <w:r>
        <w:rPr>
          <w:rFonts w:ascii="Times New Roman" w:cs="Times New Roman" w:eastAsia="Times New Roman" w:hAnsi="Times New Roman"/>
          <w:sz w:val="15"/>
          <w:szCs w:val="15"/>
          <w:color w:val="auto"/>
        </w:rPr>
        <w:t xml:space="preserve">Subject to compliance with any applicable securities laws, the Warrants are freely negotiable and transferable by the Holder thereof at any time. Any transfer by Holder shall be subject to, and conditioned upon, the transferee’s acknowledgement and agreement that any exercise of Warrants shall be subject to such transferee’s delivery of an Exercise Notice in the form set forth in </w:t>
      </w:r>
      <w:r>
        <w:rPr>
          <w:rFonts w:ascii="Times New Roman" w:cs="Times New Roman" w:eastAsia="Times New Roman" w:hAnsi="Times New Roman"/>
          <w:sz w:val="15"/>
          <w:szCs w:val="15"/>
          <w:u w:val="single" w:color="auto"/>
          <w:color w:val="auto"/>
        </w:rPr>
        <w:t>Appendix A</w:t>
      </w:r>
      <w:r>
        <w:rPr>
          <w:rFonts w:ascii="Times New Roman" w:cs="Times New Roman" w:eastAsia="Times New Roman" w:hAnsi="Times New Roman"/>
          <w:sz w:val="15"/>
          <w:szCs w:val="15"/>
          <w:color w:val="auto"/>
        </w:rPr>
        <w:t>, including the making of the representations set forth therein.</w:t>
      </w:r>
    </w:p>
    <w:p>
      <w:pPr>
        <w:spacing w:after="0" w:line="149" w:lineRule="exact"/>
        <w:rPr>
          <w:sz w:val="20"/>
          <w:szCs w:val="20"/>
          <w:color w:val="auto"/>
        </w:rPr>
      </w:pPr>
    </w:p>
    <w:p>
      <w:pPr>
        <w:jc w:val="both"/>
        <w:ind w:left="540"/>
        <w:spacing w:after="0" w:line="280" w:lineRule="auto"/>
        <w:rPr>
          <w:sz w:val="20"/>
          <w:szCs w:val="20"/>
          <w:color w:val="auto"/>
        </w:rPr>
      </w:pPr>
      <w:r>
        <w:rPr>
          <w:rFonts w:ascii="Times New Roman" w:cs="Times New Roman" w:eastAsia="Times New Roman" w:hAnsi="Times New Roman"/>
          <w:sz w:val="15"/>
          <w:szCs w:val="15"/>
          <w:color w:val="auto"/>
        </w:rPr>
        <w:t>The Warrants will not be admitted to the operations of any clearing system. The Warrants will not be admitted to listing or trading on any stock exchange or other securities market.</w:t>
      </w:r>
    </w:p>
    <w:p>
      <w:pPr>
        <w:spacing w:after="0" w:line="138" w:lineRule="exact"/>
        <w:rPr>
          <w:sz w:val="20"/>
          <w:szCs w:val="20"/>
          <w:color w:val="auto"/>
        </w:rPr>
      </w:pPr>
    </w:p>
    <w:p>
      <w:pPr>
        <w:jc w:val="both"/>
        <w:ind w:left="540"/>
        <w:spacing w:after="0" w:line="265" w:lineRule="auto"/>
        <w:rPr>
          <w:sz w:val="20"/>
          <w:szCs w:val="20"/>
          <w:color w:val="auto"/>
        </w:rPr>
      </w:pPr>
      <w:r>
        <w:rPr>
          <w:rFonts w:ascii="Times New Roman" w:cs="Times New Roman" w:eastAsia="Times New Roman" w:hAnsi="Times New Roman"/>
          <w:sz w:val="15"/>
          <w:szCs w:val="15"/>
          <w:color w:val="auto"/>
        </w:rPr>
        <w:t>Title to the Warrants held by the Holders will be established and evidenced in accordance with Article L.211-3 and R.211-1 of the French Monetary and Financial Code by book-entries (</w:t>
      </w:r>
      <w:r>
        <w:rPr>
          <w:rFonts w:ascii="Times New Roman" w:cs="Times New Roman" w:eastAsia="Times New Roman" w:hAnsi="Times New Roman"/>
          <w:sz w:val="15"/>
          <w:szCs w:val="15"/>
          <w:i w:val="1"/>
          <w:iCs w:val="1"/>
          <w:color w:val="auto"/>
        </w:rPr>
        <w:t>inscription en compte</w:t>
      </w:r>
      <w:r>
        <w:rPr>
          <w:rFonts w:ascii="Times New Roman" w:cs="Times New Roman" w:eastAsia="Times New Roman" w:hAnsi="Times New Roman"/>
          <w:sz w:val="15"/>
          <w:szCs w:val="15"/>
          <w:color w:val="auto"/>
        </w:rPr>
        <w:t xml:space="preserve">). No physical document of title (including </w:t>
      </w:r>
      <w:r>
        <w:rPr>
          <w:rFonts w:ascii="Times New Roman" w:cs="Times New Roman" w:eastAsia="Times New Roman" w:hAnsi="Times New Roman"/>
          <w:sz w:val="15"/>
          <w:szCs w:val="15"/>
          <w:i w:val="1"/>
          <w:iCs w:val="1"/>
          <w:color w:val="auto"/>
        </w:rPr>
        <w:t>certificats représentatifs</w:t>
      </w:r>
      <w:r>
        <w:rPr>
          <w:rFonts w:ascii="Times New Roman" w:cs="Times New Roman" w:eastAsia="Times New Roman" w:hAnsi="Times New Roman"/>
          <w:sz w:val="15"/>
          <w:szCs w:val="15"/>
          <w:color w:val="auto"/>
        </w:rPr>
        <w:t xml:space="preserve"> pursuant to Article R.211-7 of the French Monetary and Financial Code) will be issued in respect of the Warrants.</w:t>
      </w:r>
    </w:p>
    <w:p>
      <w:pPr>
        <w:spacing w:after="0" w:line="149"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5"/>
          <w:szCs w:val="15"/>
          <w:color w:val="auto"/>
        </w:rPr>
        <w:t>The Warrants will, upon issue, be inscribed in the books of the Registrar, which shall credit the account of the Holder with the Registrar. The Registrar shall record ownership of each Warrant, upon records to be maintained by the Registrar for that purpose (the “</w:t>
      </w:r>
      <w:r>
        <w:rPr>
          <w:rFonts w:ascii="Times New Roman" w:cs="Times New Roman" w:eastAsia="Times New Roman" w:hAnsi="Times New Roman"/>
          <w:sz w:val="15"/>
          <w:szCs w:val="15"/>
          <w:b w:val="1"/>
          <w:bCs w:val="1"/>
          <w:color w:val="auto"/>
        </w:rPr>
        <w:t>Warrant Register</w:t>
      </w:r>
      <w:r>
        <w:rPr>
          <w:rFonts w:ascii="Times New Roman" w:cs="Times New Roman" w:eastAsia="Times New Roman" w:hAnsi="Times New Roman"/>
          <w:sz w:val="15"/>
          <w:szCs w:val="15"/>
          <w:color w:val="auto"/>
        </w:rPr>
        <w:t>”), in the name of the record Holder (which shall be the initial Holder or, as the case may be, any assignee to which a Warrant is assigned pursuant hereto) from time to time. In accordance with the provisions of Articles L. 211-15 and L. 211-17 of the French Monetary and Financial Code, title to the Warrants shall be evidenced by entries in the Warrant Register, and transfer of the Warrants may only be effected through registration of the transfer in such Warrant Register. The Company and any agent of the Company may deem and treat the Holder of a Warrant recorded in the Warrant Register as the absolute owner thereof for the purpose of any exercise of such Warrant or any distribution to the Holder, and for all other purposes.</w:t>
      </w:r>
    </w:p>
    <w:p>
      <w:pPr>
        <w:spacing w:after="0" w:line="157" w:lineRule="exact"/>
        <w:rPr>
          <w:sz w:val="20"/>
          <w:szCs w:val="20"/>
          <w:color w:val="auto"/>
        </w:rPr>
      </w:pPr>
    </w:p>
    <w:p>
      <w:pPr>
        <w:jc w:val="both"/>
        <w:ind w:left="520"/>
        <w:spacing w:after="0" w:line="280" w:lineRule="auto"/>
        <w:rPr>
          <w:sz w:val="20"/>
          <w:szCs w:val="20"/>
          <w:color w:val="auto"/>
        </w:rPr>
      </w:pPr>
      <w:r>
        <w:rPr>
          <w:rFonts w:ascii="Times New Roman" w:cs="Times New Roman" w:eastAsia="Times New Roman" w:hAnsi="Times New Roman"/>
          <w:sz w:val="15"/>
          <w:szCs w:val="15"/>
          <w:color w:val="auto"/>
        </w:rPr>
        <w:t>Upon exercise of any Warrant, such Warrant shall be cancelled with effect from the relevant Exercise Date, subject to delivery of the Warrant Shares in respect of such exercise in accordance with these Terms and Conditions.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Representation of Holders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In case of multiple Holders, they will be grouped automatically in a collective group with legal personality (the “</w:t>
      </w:r>
      <w:r>
        <w:rPr>
          <w:rFonts w:ascii="Times New Roman" w:cs="Times New Roman" w:eastAsia="Times New Roman" w:hAnsi="Times New Roman"/>
          <w:sz w:val="15"/>
          <w:szCs w:val="15"/>
          <w:b w:val="1"/>
          <w:bCs w:val="1"/>
          <w:color w:val="auto"/>
        </w:rPr>
        <w:t>Masse</w:t>
      </w:r>
      <w:r>
        <w:rPr>
          <w:rFonts w:ascii="Times New Roman" w:cs="Times New Roman" w:eastAsia="Times New Roman" w:hAnsi="Times New Roman"/>
          <w:sz w:val="15"/>
          <w:szCs w:val="15"/>
          <w:color w:val="auto"/>
        </w:rPr>
        <w:t>”) to defend their common interests.</w:t>
      </w:r>
    </w:p>
    <w:p>
      <w:pPr>
        <w:spacing w:after="0" w:line="192" w:lineRule="exact"/>
        <w:rPr>
          <w:sz w:val="20"/>
          <w:szCs w:val="20"/>
          <w:color w:val="auto"/>
        </w:rPr>
      </w:pPr>
    </w:p>
    <w:p>
      <w:pPr>
        <w:jc w:val="both"/>
        <w:ind w:left="540" w:right="20"/>
        <w:spacing w:after="0" w:line="280" w:lineRule="auto"/>
        <w:rPr>
          <w:sz w:val="20"/>
          <w:szCs w:val="20"/>
          <w:color w:val="auto"/>
        </w:rPr>
      </w:pPr>
      <w:r>
        <w:rPr>
          <w:rFonts w:ascii="Times New Roman" w:cs="Times New Roman" w:eastAsia="Times New Roman" w:hAnsi="Times New Roman"/>
          <w:sz w:val="15"/>
          <w:szCs w:val="15"/>
          <w:color w:val="auto"/>
        </w:rPr>
        <w:t>The Masse will be governed by the provisions of the French Commercial Code (with the exception of the provisions of Article L.228-48 thereof), subject to the following provisions.</w:t>
      </w:r>
    </w:p>
    <w:p>
      <w:pPr>
        <w:spacing w:after="0" w:line="134" w:lineRule="exact"/>
        <w:rPr>
          <w:sz w:val="20"/>
          <w:szCs w:val="20"/>
          <w:color w:val="auto"/>
        </w:rPr>
      </w:pPr>
    </w:p>
    <w:p>
      <w:pPr>
        <w:jc w:val="both"/>
        <w:ind w:left="540"/>
        <w:spacing w:after="0" w:line="285" w:lineRule="auto"/>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5"/>
          <w:szCs w:val="15"/>
          <w:i w:val="1"/>
          <w:iCs w:val="1"/>
          <w:color w:val="auto"/>
        </w:rPr>
        <w:t>Masse</w:t>
      </w:r>
      <w:r>
        <w:rPr>
          <w:rFonts w:ascii="Times New Roman" w:cs="Times New Roman" w:eastAsia="Times New Roman" w:hAnsi="Times New Roman"/>
          <w:sz w:val="15"/>
          <w:szCs w:val="15"/>
          <w:color w:val="auto"/>
        </w:rPr>
        <w:t xml:space="preserve"> will be a separate legal entity by virtue of Article L.228-103 of the French Commercial Code, acting in part through a representative (the “</w:t>
      </w:r>
      <w:r>
        <w:rPr>
          <w:rFonts w:ascii="Times New Roman" w:cs="Times New Roman" w:eastAsia="Times New Roman" w:hAnsi="Times New Roman"/>
          <w:sz w:val="15"/>
          <w:szCs w:val="15"/>
          <w:b w:val="1"/>
          <w:bCs w:val="1"/>
          <w:color w:val="auto"/>
        </w:rPr>
        <w:t>Representative</w:t>
      </w:r>
      <w:r>
        <w:rPr>
          <w:rFonts w:ascii="Times New Roman" w:cs="Times New Roman" w:eastAsia="Times New Roman" w:hAnsi="Times New Roman"/>
          <w:sz w:val="15"/>
          <w:szCs w:val="15"/>
          <w:color w:val="auto"/>
        </w:rPr>
        <w:t>”) elected by the Holders’ General Meeting (as defined hereafter), and in part through a Holders’ general meeting (the “</w:t>
      </w:r>
      <w:r>
        <w:rPr>
          <w:rFonts w:ascii="Times New Roman" w:cs="Times New Roman" w:eastAsia="Times New Roman" w:hAnsi="Times New Roman"/>
          <w:sz w:val="15"/>
          <w:szCs w:val="15"/>
          <w:b w:val="1"/>
          <w:bCs w:val="1"/>
          <w:color w:val="auto"/>
        </w:rPr>
        <w:t>Holders’ General Meeting</w:t>
      </w:r>
      <w:r>
        <w:rPr>
          <w:rFonts w:ascii="Times New Roman" w:cs="Times New Roman" w:eastAsia="Times New Roman" w:hAnsi="Times New Roman"/>
          <w:sz w:val="15"/>
          <w:szCs w:val="15"/>
          <w:color w:val="auto"/>
        </w:rPr>
        <w:t>”).</w:t>
      </w:r>
    </w:p>
    <w:p>
      <w:pPr>
        <w:spacing w:after="0" w:line="133"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5"/>
          <w:szCs w:val="15"/>
          <w:i w:val="1"/>
          <w:iCs w:val="1"/>
          <w:color w:val="auto"/>
        </w:rPr>
        <w:t>Masse</w:t>
      </w:r>
      <w:r>
        <w:rPr>
          <w:rFonts w:ascii="Times New Roman" w:cs="Times New Roman" w:eastAsia="Times New Roman" w:hAnsi="Times New Roman"/>
          <w:sz w:val="15"/>
          <w:szCs w:val="15"/>
          <w:color w:val="auto"/>
        </w:rPr>
        <w:t xml:space="preserve"> alone, to the exclusion of all individual Holders, shall exercise the common rights, actions and benefits which now or in the future may accrue with respect to the Warrants. The Holders’ General Meeting shall be called upon to authorize any changes to the Terms and Conditions and to approve any decision that has an impact on the conditions for subscription of the Warrant Shares determined within the scope of these Terms and Conditions.</w:t>
      </w:r>
    </w:p>
    <w:p>
      <w:pPr>
        <w:spacing w:after="0" w:line="149" w:lineRule="exact"/>
        <w:rPr>
          <w:sz w:val="20"/>
          <w:szCs w:val="20"/>
          <w:color w:val="auto"/>
        </w:rPr>
      </w:pPr>
    </w:p>
    <w:p>
      <w:pPr>
        <w:jc w:val="both"/>
        <w:ind w:left="540"/>
        <w:spacing w:after="0" w:line="265" w:lineRule="auto"/>
        <w:rPr>
          <w:sz w:val="20"/>
          <w:szCs w:val="20"/>
          <w:color w:val="auto"/>
        </w:rPr>
      </w:pPr>
      <w:r>
        <w:rPr>
          <w:rFonts w:ascii="Times New Roman" w:cs="Times New Roman" w:eastAsia="Times New Roman" w:hAnsi="Times New Roman"/>
          <w:sz w:val="15"/>
          <w:szCs w:val="15"/>
          <w:color w:val="auto"/>
        </w:rPr>
        <w:t>In accordance with Articles L. 228-59 and R. 228-67 of the French Commercial Code, notice of date, hour, place and agenda of any Holders’ General Meeting will be given by electronic means of telecommunication implemented under the conditions mentioned in Article R. 225-63 of the French Commercial Code to the address indicated by the Holder not less than fifteen (15) calendar days prior to the date of such Holders’ General Meeting on first notice, and five (5) calendar days on second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196850</wp:posOffset>
            </wp:positionV>
            <wp:extent cx="7155180"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74" w:name="page75"/>
    <w:bookmarkEnd w:id="74"/>
    <w:p>
      <w:pPr>
        <w:jc w:val="both"/>
        <w:ind w:left="540" w:right="20"/>
        <w:spacing w:after="0" w:line="280" w:lineRule="auto"/>
        <w:rPr>
          <w:sz w:val="20"/>
          <w:szCs w:val="20"/>
          <w:color w:val="auto"/>
        </w:rPr>
      </w:pPr>
      <w:r>
        <w:rPr>
          <w:rFonts w:ascii="Times New Roman" w:cs="Times New Roman" w:eastAsia="Times New Roman" w:hAnsi="Times New Roman"/>
          <w:sz w:val="15"/>
          <w:szCs w:val="15"/>
          <w:color w:val="auto"/>
        </w:rPr>
        <w:t>Each Holder has the right to participate in a Holders’ General Meeting in person, by proxy, by correspondence and, in accordance with Article L. 228-61 of the French Commercial Code by videoconference or by any other means of telecommunication allowing the identification of participating Holders.</w:t>
      </w:r>
    </w:p>
    <w:p>
      <w:pPr>
        <w:spacing w:after="0" w:line="1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Decisions of the Holders’ General Meetings once approved will be published by way of a press release posted by the Company on its website (https://nanobiotix.com).</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In case of a single Holder, such Holder shall automatically have the powers attributed to the Representative, the Masse and the Holders’ General Meeting.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Calculation Agent, Independent Expert</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 has appointed Conv-Ex Advisors Limited as calculation agent (the “</w:t>
      </w:r>
      <w:r>
        <w:rPr>
          <w:rFonts w:ascii="Times New Roman" w:cs="Times New Roman" w:eastAsia="Times New Roman" w:hAnsi="Times New Roman"/>
          <w:sz w:val="15"/>
          <w:szCs w:val="15"/>
          <w:b w:val="1"/>
          <w:bCs w:val="1"/>
          <w:color w:val="auto"/>
        </w:rPr>
        <w:t>Calculation Agent</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jc w:val="both"/>
        <w:ind w:left="540"/>
        <w:spacing w:after="0" w:line="280" w:lineRule="auto"/>
        <w:rPr>
          <w:sz w:val="20"/>
          <w:szCs w:val="20"/>
          <w:color w:val="auto"/>
        </w:rPr>
      </w:pPr>
      <w:r>
        <w:rPr>
          <w:rFonts w:ascii="Times New Roman" w:cs="Times New Roman" w:eastAsia="Times New Roman" w:hAnsi="Times New Roman"/>
          <w:sz w:val="15"/>
          <w:szCs w:val="15"/>
          <w:color w:val="auto"/>
        </w:rPr>
        <w:t>The Company reserves the right at any time to modify or terminate the appointment of the Calculation Agent and/or appoint a substitute Calculation Agent or approve any change in the office through which such agent acts, provided that, so long as any Warrant is outstanding, there will at all times be a Calculation Agent.</w:t>
      </w:r>
    </w:p>
    <w:p>
      <w:pPr>
        <w:spacing w:after="0" w:line="138" w:lineRule="exact"/>
        <w:rPr>
          <w:sz w:val="20"/>
          <w:szCs w:val="20"/>
          <w:color w:val="auto"/>
        </w:rPr>
      </w:pPr>
    </w:p>
    <w:p>
      <w:pPr>
        <w:jc w:val="both"/>
        <w:ind w:left="540"/>
        <w:spacing w:after="0" w:line="260" w:lineRule="auto"/>
        <w:rPr>
          <w:sz w:val="20"/>
          <w:szCs w:val="20"/>
          <w:color w:val="auto"/>
        </w:rPr>
      </w:pPr>
      <w:r>
        <w:rPr>
          <w:rFonts w:ascii="Times New Roman" w:cs="Times New Roman" w:eastAsia="Times New Roman" w:hAnsi="Times New Roman"/>
          <w:sz w:val="15"/>
          <w:szCs w:val="15"/>
          <w:color w:val="auto"/>
        </w:rPr>
        <w:t>The Calculation Agent is acting exclusively as an agent for, and upon request from, the Company. Neither the Calculation Agent (acting in such capacity) nor any Independent Expert appointed in connection with the Warrants (acting in such capacity), shall have any relationship of agency or trust with, nor shall the Calculation Agent (acting in such capacity) nor any Independent Expert appointed as aforesaid (to the fullest extent permissible by law) shall be liable nor shall they incur any liability as against, the Holders, the Representative (if any) and (in the case of adjustments, calculations and determinations performed by an Independent Expert) the Calculation Agent.</w:t>
      </w:r>
    </w:p>
    <w:p>
      <w:pPr>
        <w:spacing w:after="0" w:line="153" w:lineRule="exact"/>
        <w:rPr>
          <w:sz w:val="20"/>
          <w:szCs w:val="20"/>
          <w:color w:val="auto"/>
        </w:rPr>
      </w:pPr>
    </w:p>
    <w:p>
      <w:pPr>
        <w:jc w:val="both"/>
        <w:ind w:left="540"/>
        <w:spacing w:after="0" w:line="260" w:lineRule="auto"/>
        <w:rPr>
          <w:sz w:val="20"/>
          <w:szCs w:val="20"/>
          <w:color w:val="auto"/>
        </w:rPr>
      </w:pPr>
      <w:r>
        <w:rPr>
          <w:rFonts w:ascii="Times New Roman" w:cs="Times New Roman" w:eastAsia="Times New Roman" w:hAnsi="Times New Roman"/>
          <w:sz w:val="15"/>
          <w:szCs w:val="15"/>
          <w:color w:val="auto"/>
        </w:rPr>
        <w:t>The Calculation Agent may, subject to the provisions of the calculation agency agreement to be entered into between the Company and the Calculation Agent at the latest on the Issue Date, consult on any matter (including but not limited to, any legal matter), with any legal or other professional adviser and it shall be able to rely upon, and it shall not be liable and shall incur no liability as against the Company, the Representative or the Holders in respect of anything done, or omitted to be done, relating to that matter in good faith in accordance with that adviser’s opinion.</w:t>
      </w:r>
    </w:p>
    <w:p>
      <w:pPr>
        <w:spacing w:after="0" w:line="153" w:lineRule="exact"/>
        <w:rPr>
          <w:sz w:val="20"/>
          <w:szCs w:val="20"/>
          <w:color w:val="auto"/>
        </w:rPr>
      </w:pPr>
    </w:p>
    <w:p>
      <w:pPr>
        <w:jc w:val="both"/>
        <w:ind w:left="540"/>
        <w:spacing w:after="0" w:line="257" w:lineRule="auto"/>
        <w:rPr>
          <w:sz w:val="20"/>
          <w:szCs w:val="20"/>
          <w:color w:val="auto"/>
        </w:rPr>
      </w:pPr>
      <w:r>
        <w:rPr>
          <w:rFonts w:ascii="Times New Roman" w:cs="Times New Roman" w:eastAsia="Times New Roman" w:hAnsi="Times New Roman"/>
          <w:sz w:val="15"/>
          <w:szCs w:val="15"/>
          <w:color w:val="auto"/>
        </w:rPr>
        <w:t>If any doubt shall arise as to whether an adjustment is to be made to the Exercise Ratio or as to the appropriate adjustment to the Exercise Ratio, or as to any determination specified to be made by the Calculation Agent in these Terms and Conditions, and following consultation between the Company and the Calculation Agent, an Independent Expert may be appointed by the Company, at its own expense; the Independent Expert will be in charge of delivering a written opinion in respect of such adjustment or determination and shall be conclusive and binding on the Company, the Holders, the Registrar and the Calculation Agent, save in the case of willful default, bad faith or manifest error.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Suspension of the ability to exercise the Warrants</w:t>
      </w:r>
    </w:p>
    <w:p>
      <w:pPr>
        <w:spacing w:after="0" w:line="192" w:lineRule="exact"/>
        <w:rPr>
          <w:sz w:val="20"/>
          <w:szCs w:val="20"/>
          <w:color w:val="auto"/>
        </w:rPr>
      </w:pPr>
    </w:p>
    <w:p>
      <w:pPr>
        <w:jc w:val="both"/>
        <w:ind w:left="540"/>
        <w:spacing w:after="0" w:line="253" w:lineRule="auto"/>
        <w:rPr>
          <w:sz w:val="20"/>
          <w:szCs w:val="20"/>
          <w:color w:val="auto"/>
        </w:rPr>
      </w:pPr>
      <w:r>
        <w:rPr>
          <w:rFonts w:ascii="Times New Roman" w:cs="Times New Roman" w:eastAsia="Times New Roman" w:hAnsi="Times New Roman"/>
          <w:sz w:val="15"/>
          <w:szCs w:val="15"/>
          <w:color w:val="auto"/>
        </w:rPr>
        <w:t xml:space="preserve">In case of a capital increase, absorption, merger, spin-off or issue of new Shares or securities giving access to the share capital, or any other financial transaction involving a preferential subscription right or reserving a priority subscription period for the benefit of the Company’s shareholders, the Company will be entitled to suspend the exercise of the Warrants for a period that may not exceed the shorter of three months or any other required period set by the applicable regulations. Notwithstanding anything contained herein, in the case of a suspension under this Section 9 the first day of which falls during the period of three (3) months prior to the day which (but for the operation of this Section 9) would be the last day of the Exercise Period, the Exercise Period shall be automatically extended for the same duration as the period of suspension. The Company’s decision to suspend the ability to exercise the Warrants will be published (to the extent that such publication is required under French law or any other form of communication compliant with applicable regulations) in the </w:t>
      </w:r>
      <w:r>
        <w:rPr>
          <w:rFonts w:ascii="Times New Roman" w:cs="Times New Roman" w:eastAsia="Times New Roman" w:hAnsi="Times New Roman"/>
          <w:sz w:val="15"/>
          <w:szCs w:val="15"/>
          <w:i w:val="1"/>
          <w:iCs w:val="1"/>
          <w:color w:val="auto"/>
        </w:rPr>
        <w:t>Bulletin des annonces légales obligatoires</w:t>
      </w:r>
      <w:r>
        <w:rPr>
          <w:rFonts w:ascii="Times New Roman" w:cs="Times New Roman" w:eastAsia="Times New Roman" w:hAnsi="Times New Roman"/>
          <w:sz w:val="15"/>
          <w:szCs w:val="15"/>
          <w:color w:val="auto"/>
        </w:rPr>
        <w:t>. This notice will be published at least seven calendar days (so long as required by French law) before the suspension becomes effective and will indicate the dates on which the suspension exercise of the Warrants will begin and end. At the same time, this information will also be the object of a notice published by the Company in accordance with Condition 13 and (if the rules of the Trading Market for the Shares so require) a notice published by such Trading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715518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75" w:name="page76"/>
    <w:bookmarkEnd w:id="75"/>
    <w:p>
      <w:pPr>
        <w:ind w:left="540" w:right="100" w:hanging="539"/>
        <w:spacing w:after="0" w:line="285" w:lineRule="auto"/>
        <w:rPr>
          <w:sz w:val="20"/>
          <w:szCs w:val="20"/>
          <w:color w:val="auto"/>
        </w:rPr>
      </w:pPr>
      <w:r>
        <w:rPr>
          <w:rFonts w:ascii="Times New Roman" w:cs="Times New Roman" w:eastAsia="Times New Roman" w:hAnsi="Times New Roman"/>
          <w:sz w:val="15"/>
          <w:szCs w:val="15"/>
          <w:b w:val="1"/>
          <w:bCs w:val="1"/>
          <w:color w:val="auto"/>
        </w:rPr>
        <w:t>Modification of the rules for profit distribution, capital amortization, modification of the legal form or corporate purpose of the Company— reduction of the Company’s share capital due to losses</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Pursuant to the provisions of Article L. 228-98 of the French Commercial Code and to the extent not already covered by the provisions of Section 5:</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 may modify its form or corporate purpose without the approval of the Holders’ General Meeting;</w:t>
      </w:r>
    </w:p>
    <w:p>
      <w:pPr>
        <w:spacing w:after="0" w:line="188" w:lineRule="exact"/>
        <w:rPr>
          <w:sz w:val="20"/>
          <w:szCs w:val="20"/>
          <w:color w:val="auto"/>
        </w:rPr>
      </w:pPr>
    </w:p>
    <w:p>
      <w:pPr>
        <w:jc w:val="center"/>
        <w:ind w:left="860"/>
        <w:spacing w:after="0" w:line="280" w:lineRule="auto"/>
        <w:rPr>
          <w:sz w:val="20"/>
          <w:szCs w:val="20"/>
          <w:color w:val="auto"/>
        </w:rPr>
      </w:pPr>
      <w:r>
        <w:rPr>
          <w:rFonts w:ascii="Times New Roman" w:cs="Times New Roman" w:eastAsia="Times New Roman" w:hAnsi="Times New Roman"/>
          <w:sz w:val="15"/>
          <w:szCs w:val="15"/>
          <w:color w:val="auto"/>
        </w:rPr>
        <w:t>the Company may, without requesting the approval of the Holders’ General Meeting, amortize its share capital, modify the allocation of its profits or issue preferred shares, as long as there are outstanding/unexercised Warrants, provided that it has taken the necessary measures to preserve the rights of the Holders (see Section 5 above);</w:t>
      </w:r>
    </w:p>
    <w:p>
      <w:pPr>
        <w:spacing w:after="0" w:line="138" w:lineRule="exact"/>
        <w:rPr>
          <w:sz w:val="20"/>
          <w:szCs w:val="20"/>
          <w:color w:val="auto"/>
        </w:rPr>
      </w:pPr>
    </w:p>
    <w:p>
      <w:pPr>
        <w:jc w:val="both"/>
        <w:ind w:left="1080" w:hanging="539"/>
        <w:spacing w:after="0" w:line="260" w:lineRule="auto"/>
        <w:rPr>
          <w:sz w:val="20"/>
          <w:szCs w:val="20"/>
          <w:color w:val="auto"/>
        </w:rPr>
      </w:pPr>
      <w:r>
        <w:rPr>
          <w:rFonts w:ascii="Times New Roman" w:cs="Times New Roman" w:eastAsia="Times New Roman" w:hAnsi="Times New Roman"/>
          <w:sz w:val="15"/>
          <w:szCs w:val="15"/>
          <w:color w:val="auto"/>
        </w:rPr>
        <w:t>in case of a reduction in the Company’s share capital motivated by losses and carried out by reducing the nominal amount or the number of shares making up the share capital, the rights of the Holders will be reduced accordingly, as if they had exercised the Warrants before the date on which the capital reduction became effective. In case of a reduction in the Company’s share capital by reducing the number of shares, the new Exercise Ratio will be equal to the product of the Exercise Ratio in force before the reduction in the number of shares and the following ratio:</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Number of Shares forming the share capital after the transaction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Number of Shares forming the share capital before the transaction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New issues and assimilation</w:t>
      </w:r>
    </w:p>
    <w:p>
      <w:pPr>
        <w:spacing w:after="0" w:line="190"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5"/>
          <w:szCs w:val="15"/>
          <w:color w:val="auto"/>
        </w:rPr>
        <w:t>The Company may, without requiring the consent of the Holders’ General Meeting, issue other warrants fungible with (</w:t>
      </w:r>
      <w:r>
        <w:rPr>
          <w:rFonts w:ascii="Times New Roman" w:cs="Times New Roman" w:eastAsia="Times New Roman" w:hAnsi="Times New Roman"/>
          <w:sz w:val="15"/>
          <w:szCs w:val="15"/>
          <w:i w:val="1"/>
          <w:iCs w:val="1"/>
          <w:color w:val="auto"/>
        </w:rPr>
        <w:t>assimilable</w:t>
      </w:r>
      <w:r>
        <w:rPr>
          <w:rFonts w:ascii="Times New Roman" w:cs="Times New Roman" w:eastAsia="Times New Roman" w:hAnsi="Times New Roman"/>
          <w:sz w:val="15"/>
          <w:szCs w:val="15"/>
          <w:color w:val="auto"/>
        </w:rPr>
        <w:t>) the Warrants. To the extent that these similar (</w:t>
      </w:r>
      <w:r>
        <w:rPr>
          <w:rFonts w:ascii="Times New Roman" w:cs="Times New Roman" w:eastAsia="Times New Roman" w:hAnsi="Times New Roman"/>
          <w:sz w:val="15"/>
          <w:szCs w:val="15"/>
          <w:i w:val="1"/>
          <w:iCs w:val="1"/>
          <w:color w:val="auto"/>
        </w:rPr>
        <w:t>assimilable</w:t>
      </w:r>
      <w:r>
        <w:rPr>
          <w:rFonts w:ascii="Times New Roman" w:cs="Times New Roman" w:eastAsia="Times New Roman" w:hAnsi="Times New Roman"/>
          <w:sz w:val="15"/>
          <w:szCs w:val="15"/>
          <w:color w:val="auto"/>
        </w:rPr>
        <w:t>) warrants and the Warrants will confer identical rights in all respects and that the terms and conditions of those warrants are identical to these of the Warrants, the Holders and the holders of those warrants will be regrouped in a single masse for the defense of their common interests.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Absence of restriction in the Company’s by-laws on the free negotiability of the Warrants and the Warrant Shares to be issued upon exercise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Nothing in the Company’s by-laws restricts the free negotiability of the Warrants and the Shares comprising the Company’s share capital.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Notices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Any notice to the Holders shall be deemed to be duly given if it has been made available to the Holders on the website of the Company (https://nanobiotix.com/fr/).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Taxes</w:t>
      </w:r>
    </w:p>
    <w:p>
      <w:pPr>
        <w:spacing w:after="0" w:line="192" w:lineRule="exact"/>
        <w:rPr>
          <w:sz w:val="20"/>
          <w:szCs w:val="20"/>
          <w:color w:val="auto"/>
        </w:rPr>
      </w:pPr>
    </w:p>
    <w:p>
      <w:pPr>
        <w:jc w:val="both"/>
        <w:ind w:left="540" w:right="20"/>
        <w:spacing w:after="0" w:line="280" w:lineRule="auto"/>
        <w:rPr>
          <w:sz w:val="20"/>
          <w:szCs w:val="20"/>
          <w:color w:val="auto"/>
        </w:rPr>
      </w:pPr>
      <w:r>
        <w:rPr>
          <w:rFonts w:ascii="Times New Roman" w:cs="Times New Roman" w:eastAsia="Times New Roman" w:hAnsi="Times New Roman"/>
          <w:sz w:val="15"/>
          <w:szCs w:val="15"/>
          <w:color w:val="auto"/>
        </w:rPr>
        <w:t>The Company shall pay any and all documentary, stamp, transfer and other similar taxes which may be payable under French laws with respect to the issue and delivery of Warrant Shares upon exercise of the Warrants.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Successor and Assigns</w:t>
      </w:r>
    </w:p>
    <w:p>
      <w:pPr>
        <w:spacing w:after="0" w:line="192" w:lineRule="exact"/>
        <w:rPr>
          <w:sz w:val="20"/>
          <w:szCs w:val="20"/>
          <w:color w:val="auto"/>
        </w:rPr>
      </w:pPr>
    </w:p>
    <w:p>
      <w:pPr>
        <w:jc w:val="both"/>
        <w:ind w:left="540" w:right="20"/>
        <w:spacing w:after="0" w:line="265" w:lineRule="auto"/>
        <w:rPr>
          <w:sz w:val="20"/>
          <w:szCs w:val="20"/>
          <w:color w:val="auto"/>
        </w:rPr>
      </w:pPr>
      <w:r>
        <w:rPr>
          <w:rFonts w:ascii="Times New Roman" w:cs="Times New Roman" w:eastAsia="Times New Roman" w:hAnsi="Times New Roman"/>
          <w:sz w:val="15"/>
          <w:szCs w:val="15"/>
          <w:color w:val="auto"/>
        </w:rPr>
        <w:t>These Terms and Conditions shall be binding upon and inure to the benefit of the Holders and their assigns, and shall be binding upon any entity succeeding to the Company by consolidation, merger or acquisition of all or substantially all of the Company’s assets (including by way of contribution, spin-off or partial spin-off). The Company may not assign the Warrants or any rights or obligations hereunder without the prior written consent of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196850</wp:posOffset>
            </wp:positionV>
            <wp:extent cx="715518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b w:val="1"/>
          <w:bCs w:val="1"/>
          <w:color w:val="auto"/>
        </w:rPr>
        <w:t>Third Party Rights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These Warrants confer no right on any person other than the Holder thereof to enforce any of these Terms and Conditions or any other term of these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These Terms and Conditions shall be interpreted, governed by and construed in accordance with the law of France.</w:t>
      </w:r>
    </w:p>
    <w:p>
      <w:pPr>
        <w:spacing w:after="0" w:line="188" w:lineRule="exact"/>
        <w:rPr>
          <w:sz w:val="20"/>
          <w:szCs w:val="20"/>
          <w:color w:val="auto"/>
        </w:rPr>
      </w:pPr>
    </w:p>
    <w:p>
      <w:pPr>
        <w:jc w:val="both"/>
        <w:ind w:left="540"/>
        <w:spacing w:after="0" w:line="260" w:lineRule="auto"/>
        <w:rPr>
          <w:sz w:val="20"/>
          <w:szCs w:val="20"/>
          <w:color w:val="auto"/>
        </w:rPr>
      </w:pPr>
      <w:r>
        <w:rPr>
          <w:rFonts w:ascii="Times New Roman" w:cs="Times New Roman" w:eastAsia="Times New Roman" w:hAnsi="Times New Roman"/>
          <w:sz w:val="15"/>
          <w:szCs w:val="15"/>
          <w:color w:val="auto"/>
        </w:rPr>
        <w:t>Any suit, action or proceeding arising out of or based upon the Warrants or the transactions contemplated by these Terms and Conditions will be submitted to the exclusive jurisdiction of the Paris court of economical activities (</w:t>
      </w:r>
      <w:r>
        <w:rPr>
          <w:rFonts w:ascii="Times New Roman" w:cs="Times New Roman" w:eastAsia="Times New Roman" w:hAnsi="Times New Roman"/>
          <w:sz w:val="15"/>
          <w:szCs w:val="15"/>
          <w:i w:val="1"/>
          <w:iCs w:val="1"/>
          <w:color w:val="auto"/>
        </w:rPr>
        <w:t>Tribunal des activités économiques de Paris</w:t>
      </w:r>
      <w:r>
        <w:rPr>
          <w:rFonts w:ascii="Times New Roman" w:cs="Times New Roman" w:eastAsia="Times New Roman" w:hAnsi="Times New Roman"/>
          <w:sz w:val="15"/>
          <w:szCs w:val="15"/>
          <w:color w:val="auto"/>
        </w:rPr>
        <w:t>), and, to the extent permitted by law, the Company and the Holders irrevocably waive any objection it may now or hereafter have to personal jurisdiction the laying of venue of any such suit, action or proceeding, and irrevocably submits to the exclusive jurisdiction of such courts in any such suit, action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199390</wp:posOffset>
            </wp:positionV>
            <wp:extent cx="715518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77" w:name="page78"/>
    <w:bookmarkEnd w:id="77"/>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Appendix A</w:t>
      </w:r>
    </w:p>
    <w:p>
      <w:pPr>
        <w:spacing w:after="0" w:line="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Form of Exercise Notice</w:t>
      </w:r>
    </w:p>
    <w:p>
      <w:pPr>
        <w:spacing w:after="0" w:line="1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To: [Registrar]</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Attention: [•]</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Copy to: Company</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Attention</w:t>
      </w:r>
      <w:r>
        <w:rPr>
          <w:rFonts w:ascii="Times New Roman" w:cs="Times New Roman" w:eastAsia="Times New Roman" w:hAnsi="Times New Roman"/>
          <w:sz w:val="15"/>
          <w:szCs w:val="15"/>
          <w:color w:val="auto"/>
        </w:rPr>
        <w:t>: Finance Department [***]</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Copy to: Calculation Agent</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Attention</w:t>
      </w:r>
      <w:r>
        <w:rPr>
          <w:rFonts w:ascii="Times New Roman" w:cs="Times New Roman" w:eastAsia="Times New Roman" w:hAnsi="Times New Roman"/>
          <w:sz w:val="15"/>
          <w:szCs w:val="15"/>
          <w:color w:val="auto"/>
        </w:rPr>
        <w:t>: Calculation Agency Team [***]</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EXERCISE NOTICE</w:t>
      </w:r>
    </w:p>
    <w:p>
      <w:pPr>
        <w:spacing w:after="0" w:line="188" w:lineRule="exact"/>
        <w:rPr>
          <w:sz w:val="20"/>
          <w:szCs w:val="20"/>
          <w:color w:val="auto"/>
        </w:rPr>
      </w:pPr>
    </w:p>
    <w:p>
      <w:pPr>
        <w:jc w:val="both"/>
        <w:ind w:left="10"/>
        <w:spacing w:after="0" w:line="268" w:lineRule="auto"/>
        <w:rPr>
          <w:sz w:val="20"/>
          <w:szCs w:val="20"/>
          <w:color w:val="auto"/>
        </w:rPr>
      </w:pPr>
      <w:r>
        <w:rPr>
          <w:rFonts w:ascii="Times New Roman" w:cs="Times New Roman" w:eastAsia="Times New Roman" w:hAnsi="Times New Roman"/>
          <w:sz w:val="15"/>
          <w:szCs w:val="15"/>
          <w:color w:val="auto"/>
        </w:rPr>
        <w:t xml:space="preserve">Reference is made to the Warrants, issued on May 26, 2026, by </w:t>
      </w:r>
      <w:r>
        <w:rPr>
          <w:rFonts w:ascii="Times New Roman" w:cs="Times New Roman" w:eastAsia="Times New Roman" w:hAnsi="Times New Roman"/>
          <w:sz w:val="15"/>
          <w:szCs w:val="15"/>
          <w:b w:val="1"/>
          <w:bCs w:val="1"/>
          <w:color w:val="auto"/>
        </w:rPr>
        <w:t>Nanobiotix S.A.</w:t>
      </w:r>
      <w:r>
        <w:rPr>
          <w:rFonts w:ascii="Times New Roman" w:cs="Times New Roman" w:eastAsia="Times New Roman" w:hAnsi="Times New Roman"/>
          <w:sz w:val="15"/>
          <w:szCs w:val="15"/>
          <w:color w:val="auto"/>
        </w:rPr>
        <w:t xml:space="preserve">, a </w:t>
      </w:r>
      <w:r>
        <w:rPr>
          <w:rFonts w:ascii="Times New Roman" w:cs="Times New Roman" w:eastAsia="Times New Roman" w:hAnsi="Times New Roman"/>
          <w:sz w:val="15"/>
          <w:szCs w:val="15"/>
          <w:i w:val="1"/>
          <w:iCs w:val="1"/>
          <w:color w:val="auto"/>
        </w:rPr>
        <w:t>société anonyme</w:t>
      </w:r>
      <w:r>
        <w:rPr>
          <w:rFonts w:ascii="Times New Roman" w:cs="Times New Roman" w:eastAsia="Times New Roman" w:hAnsi="Times New Roman"/>
          <w:sz w:val="15"/>
          <w:szCs w:val="15"/>
          <w:color w:val="auto"/>
        </w:rPr>
        <w:t xml:space="preserve"> incorporated under the laws of France and registered with the </w:t>
      </w:r>
      <w:r>
        <w:rPr>
          <w:rFonts w:ascii="Times New Roman" w:cs="Times New Roman" w:eastAsia="Times New Roman" w:hAnsi="Times New Roman"/>
          <w:sz w:val="15"/>
          <w:szCs w:val="15"/>
          <w:i w:val="1"/>
          <w:iCs w:val="1"/>
          <w:color w:val="auto"/>
        </w:rPr>
        <w:t>Registre du Commerce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et des Sociétés </w:t>
      </w:r>
      <w:r>
        <w:rPr>
          <w:rFonts w:ascii="Times New Roman" w:cs="Times New Roman" w:eastAsia="Times New Roman" w:hAnsi="Times New Roman"/>
          <w:sz w:val="15"/>
          <w:szCs w:val="15"/>
          <w:color w:val="auto"/>
        </w:rPr>
        <w:t>of Paris under number 447 521 600, with a registered capital of € [1,455,528.90] and having its registered office at 60, rue de Wattignies – 75012 Paris, France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Unless otherwise expressly defined herein, the capitalized terms in this Exercise Notice shall have the meaning set forth in the Terms and Conditions.</w:t>
      </w:r>
    </w:p>
    <w:p>
      <w:pPr>
        <w:spacing w:after="0" w:line="188" w:lineRule="exact"/>
        <w:rPr>
          <w:sz w:val="20"/>
          <w:szCs w:val="20"/>
          <w:color w:val="auto"/>
        </w:rPr>
      </w:pPr>
    </w:p>
    <w:p>
      <w:pPr>
        <w:jc w:val="both"/>
        <w:ind w:left="10"/>
        <w:spacing w:after="0" w:line="222" w:lineRule="auto"/>
        <w:rPr>
          <w:sz w:val="20"/>
          <w:szCs w:val="20"/>
          <w:color w:val="auto"/>
        </w:rPr>
      </w:pPr>
      <w:r>
        <w:rPr>
          <w:rFonts w:ascii="Times New Roman" w:cs="Times New Roman" w:eastAsia="Times New Roman" w:hAnsi="Times New Roman"/>
          <w:sz w:val="15"/>
          <w:szCs w:val="15"/>
          <w:color w:val="auto"/>
        </w:rPr>
        <w:t xml:space="preserve">The undersigned, [•], residing [•], having a full knowledge of the Company’s by-laws and the Terms and Conditions of the Warrants, benefitting from the cancellation of the preferential subscription right, and, in accordance with and pursuant to the terms of the Warrants, it being understood and agreed that one Warrant is exercisable such number of Shares as is determined by the Calculation Agent in accordance with the Terms and Conditions, the undersigned hereby (i) confirms that, </w:t>
      </w:r>
      <w:r>
        <w:rPr>
          <w:rFonts w:ascii="Times New Roman" w:cs="Times New Roman" w:eastAsia="Times New Roman" w:hAnsi="Times New Roman"/>
          <w:sz w:val="15"/>
          <w:szCs w:val="15"/>
          <w:u w:val="single" w:color="auto"/>
          <w:color w:val="auto"/>
        </w:rPr>
        <w:t>immediately prior to</w:t>
      </w:r>
      <w:r>
        <w:rPr>
          <w:rFonts w:ascii="Times New Roman" w:cs="Times New Roman" w:eastAsia="Times New Roman" w:hAnsi="Times New Roman"/>
          <w:sz w:val="15"/>
          <w:szCs w:val="15"/>
          <w:color w:val="auto"/>
        </w:rPr>
        <w:t xml:space="preserve"> receiving the relevant number of Warrant Shares pursuant to this exercise of Warrants, the holder of the Warrants so exercised (together with its Attribution Parties), beneficially own (within the meaning of Section 2(f), </w:t>
      </w:r>
      <w:r>
        <w:rPr>
          <w:rFonts w:ascii="Times New Roman" w:cs="Times New Roman" w:eastAsia="Times New Roman" w:hAnsi="Times New Roman"/>
          <w:sz w:val="15"/>
          <w:szCs w:val="15"/>
          <w:u w:val="single" w:color="auto"/>
          <w:color w:val="auto"/>
        </w:rPr>
        <w:t>but excluding</w:t>
      </w:r>
      <w:r>
        <w:rPr>
          <w:rFonts w:ascii="Times New Roman" w:cs="Times New Roman" w:eastAsia="Times New Roman" w:hAnsi="Times New Roman"/>
          <w:sz w:val="15"/>
          <w:szCs w:val="15"/>
          <w:color w:val="auto"/>
        </w:rPr>
        <w:t xml:space="preserve"> for this purpose the relevant number of Warrant Shares resulting from this exercise) ________________ ________________ ________________ ________________ </w:t>
      </w:r>
      <w:r>
        <w:rPr>
          <w:rFonts w:ascii="Times New Roman" w:cs="Times New Roman" w:eastAsia="Times New Roman" w:hAnsi="Times New Roman"/>
          <w:sz w:val="25"/>
          <w:szCs w:val="25"/>
          <w:color w:val="auto"/>
          <w:vertAlign w:val="superscript"/>
        </w:rPr>
        <w:t>2</w:t>
      </w:r>
    </w:p>
    <w:p>
      <w:pPr>
        <w:ind w:left="10"/>
        <w:spacing w:after="0" w:line="188" w:lineRule="auto"/>
        <w:tabs>
          <w:tab w:leader="none" w:pos="9850" w:val="left"/>
        </w:tabs>
        <w:rPr>
          <w:sz w:val="20"/>
          <w:szCs w:val="20"/>
          <w:color w:val="auto"/>
        </w:rPr>
      </w:pPr>
      <w:r>
        <w:rPr>
          <w:rFonts w:ascii="Times New Roman" w:cs="Times New Roman" w:eastAsia="Times New Roman" w:hAnsi="Times New Roman"/>
          <w:sz w:val="13"/>
          <w:szCs w:val="13"/>
          <w:color w:val="auto"/>
        </w:rPr>
        <w:t>(________________ ____________</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3"/>
          <w:szCs w:val="13"/>
          <w:color w:val="auto"/>
        </w:rPr>
        <w:t>) Shares, and (ii) elects to exercise ________________ ________________ ________________ ________________</w:t>
      </w:r>
      <w:r>
        <w:rPr>
          <w:sz w:val="20"/>
          <w:szCs w:val="20"/>
          <w:color w:val="auto"/>
        </w:rPr>
        <w:tab/>
      </w:r>
      <w:r>
        <w:rPr>
          <w:rFonts w:ascii="Times New Roman" w:cs="Times New Roman" w:eastAsia="Times New Roman" w:hAnsi="Times New Roman"/>
          <w:sz w:val="20"/>
          <w:szCs w:val="20"/>
          <w:color w:val="auto"/>
          <w:vertAlign w:val="superscript"/>
        </w:rPr>
        <w:t xml:space="preserve">4  </w:t>
      </w:r>
      <w:r>
        <w:rPr>
          <w:rFonts w:ascii="Times New Roman" w:cs="Times New Roman" w:eastAsia="Times New Roman" w:hAnsi="Times New Roman"/>
          <w:sz w:val="12"/>
          <w:szCs w:val="12"/>
          <w:color w:val="auto"/>
        </w:rPr>
        <w:t>(________________</w:t>
      </w:r>
    </w:p>
    <w:p>
      <w:pPr>
        <w:ind w:left="10"/>
        <w:spacing w:after="0" w:line="182" w:lineRule="auto"/>
        <w:tabs>
          <w:tab w:leader="none" w:pos="7350" w:val="left"/>
        </w:tabs>
        <w:rPr>
          <w:sz w:val="20"/>
          <w:szCs w:val="20"/>
          <w:color w:val="auto"/>
        </w:rPr>
      </w:pPr>
      <w:r>
        <w:rPr>
          <w:rFonts w:ascii="Times New Roman" w:cs="Times New Roman" w:eastAsia="Times New Roman" w:hAnsi="Times New Roman"/>
          <w:sz w:val="14"/>
          <w:szCs w:val="14"/>
          <w:color w:val="auto"/>
        </w:rPr>
        <w:t>____________</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Warrants out of the ________________ ________________ ________________ ________________</w:t>
      </w:r>
      <w:r>
        <w:rPr>
          <w:sz w:val="20"/>
          <w:szCs w:val="20"/>
          <w:color w:val="auto"/>
        </w:rPr>
        <w:tab/>
      </w:r>
      <w:r>
        <w:rPr>
          <w:rFonts w:ascii="Times New Roman" w:cs="Times New Roman" w:eastAsia="Times New Roman" w:hAnsi="Times New Roman"/>
          <w:sz w:val="22"/>
          <w:szCs w:val="22"/>
          <w:color w:val="auto"/>
          <w:vertAlign w:val="superscript"/>
        </w:rPr>
        <w:t xml:space="preserve">6 </w:t>
      </w:r>
      <w:r>
        <w:rPr>
          <w:rFonts w:ascii="Times New Roman" w:cs="Times New Roman" w:eastAsia="Times New Roman" w:hAnsi="Times New Roman"/>
          <w:sz w:val="13"/>
          <w:szCs w:val="13"/>
          <w:color w:val="auto"/>
        </w:rPr>
        <w:t>(________________</w:t>
      </w: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3"/>
          <w:szCs w:val="13"/>
          <w:color w:val="auto"/>
        </w:rPr>
        <w:t>) Warrants held by the undersigned as at</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396875</wp:posOffset>
            </wp:positionV>
            <wp:extent cx="137223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2235" cy="698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110" w:hanging="110"/>
        <w:spacing w:after="0"/>
        <w:tabs>
          <w:tab w:leader="none" w:pos="110" w:val="left"/>
        </w:tabs>
        <w:numPr>
          <w:ilvl w:val="0"/>
          <w:numId w:val="7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insert number of Shares in letters</w:t>
      </w:r>
    </w:p>
    <w:p>
      <w:pPr>
        <w:spacing w:after="0" w:line="73" w:lineRule="exact"/>
        <w:rPr>
          <w:sz w:val="20"/>
          <w:szCs w:val="20"/>
          <w:color w:val="auto"/>
        </w:rPr>
      </w:pPr>
    </w:p>
    <w:p>
      <w:pPr>
        <w:ind w:left="110" w:hanging="110"/>
        <w:spacing w:after="0"/>
        <w:tabs>
          <w:tab w:leader="none" w:pos="110" w:val="left"/>
        </w:tabs>
        <w:numPr>
          <w:ilvl w:val="0"/>
          <w:numId w:val="7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insert number of Shares in numbers</w:t>
      </w:r>
    </w:p>
    <w:p>
      <w:pPr>
        <w:spacing w:after="0" w:line="73" w:lineRule="exact"/>
        <w:rPr>
          <w:sz w:val="20"/>
          <w:szCs w:val="20"/>
          <w:color w:val="auto"/>
        </w:rPr>
      </w:pPr>
    </w:p>
    <w:p>
      <w:pPr>
        <w:ind w:left="110" w:hanging="110"/>
        <w:spacing w:after="0"/>
        <w:tabs>
          <w:tab w:leader="none" w:pos="110" w:val="left"/>
        </w:tabs>
        <w:numPr>
          <w:ilvl w:val="0"/>
          <w:numId w:val="7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insert number of Warrants in letters</w:t>
      </w:r>
    </w:p>
    <w:p>
      <w:pPr>
        <w:spacing w:after="0" w:line="73" w:lineRule="exact"/>
        <w:rPr>
          <w:sz w:val="20"/>
          <w:szCs w:val="20"/>
          <w:color w:val="auto"/>
        </w:rPr>
      </w:pPr>
    </w:p>
    <w:p>
      <w:pPr>
        <w:ind w:left="110" w:hanging="110"/>
        <w:spacing w:after="0"/>
        <w:tabs>
          <w:tab w:leader="none" w:pos="110" w:val="left"/>
        </w:tabs>
        <w:numPr>
          <w:ilvl w:val="0"/>
          <w:numId w:val="7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insert number of Warrants in numbers</w:t>
      </w:r>
    </w:p>
    <w:p>
      <w:pPr>
        <w:spacing w:after="0" w:line="73" w:lineRule="exact"/>
        <w:rPr>
          <w:sz w:val="20"/>
          <w:szCs w:val="20"/>
          <w:color w:val="auto"/>
        </w:rPr>
      </w:pPr>
    </w:p>
    <w:p>
      <w:pPr>
        <w:ind w:left="110" w:hanging="110"/>
        <w:spacing w:after="0"/>
        <w:tabs>
          <w:tab w:leader="none" w:pos="110" w:val="left"/>
        </w:tabs>
        <w:numPr>
          <w:ilvl w:val="0"/>
          <w:numId w:val="7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insert number of Warrants in letters</w:t>
      </w:r>
    </w:p>
    <w:p>
      <w:pPr>
        <w:spacing w:after="0" w:line="73" w:lineRule="exact"/>
        <w:rPr>
          <w:sz w:val="20"/>
          <w:szCs w:val="20"/>
          <w:color w:val="auto"/>
        </w:rPr>
      </w:pPr>
    </w:p>
    <w:p>
      <w:pPr>
        <w:ind w:left="110" w:hanging="110"/>
        <w:spacing w:after="0"/>
        <w:tabs>
          <w:tab w:leader="none" w:pos="110" w:val="left"/>
        </w:tabs>
        <w:numPr>
          <w:ilvl w:val="0"/>
          <w:numId w:val="7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insert number of Warrants 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55180"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78" w:name="page79"/>
    <w:bookmarkEnd w:id="78"/>
    <w:p>
      <w:pPr>
        <w:ind w:left="550"/>
        <w:spacing w:after="0"/>
        <w:rPr>
          <w:sz w:val="20"/>
          <w:szCs w:val="20"/>
          <w:color w:val="auto"/>
        </w:rPr>
      </w:pPr>
      <w:r>
        <w:rPr>
          <w:rFonts w:ascii="Times New Roman" w:cs="Times New Roman" w:eastAsia="Times New Roman" w:hAnsi="Times New Roman"/>
          <w:sz w:val="15"/>
          <w:szCs w:val="15"/>
          <w:color w:val="auto"/>
        </w:rPr>
        <w:t>As a result of the above, the undersigned:</w:t>
      </w:r>
    </w:p>
    <w:p>
      <w:pPr>
        <w:spacing w:after="0" w:line="188" w:lineRule="exact"/>
        <w:rPr>
          <w:sz w:val="20"/>
          <w:szCs w:val="20"/>
          <w:color w:val="auto"/>
        </w:rPr>
      </w:pPr>
    </w:p>
    <w:p>
      <w:pPr>
        <w:ind w:left="1630" w:right="200" w:hanging="539"/>
        <w:spacing w:after="0" w:line="265" w:lineRule="auto"/>
        <w:rPr>
          <w:sz w:val="20"/>
          <w:szCs w:val="20"/>
          <w:color w:val="auto"/>
        </w:rPr>
      </w:pPr>
      <w:r>
        <w:rPr>
          <w:rFonts w:ascii="Times New Roman" w:cs="Times New Roman" w:eastAsia="Times New Roman" w:hAnsi="Times New Roman"/>
          <w:sz w:val="15"/>
          <w:szCs w:val="15"/>
          <w:color w:val="auto"/>
        </w:rPr>
        <w:t>represents, warrants, and agrees that its exercise of the Warrants hereunder and receipt of the underlying Warrant Shares complies with applicable securities laws, that it is an “accredited investor” (as defined in Rule 501 under the Securities Act), and that, after giving effect to such exercise and receipt, it does not beneficially own a number of Shares in excess of the Beneficial Ownership Limitation (as defined in the Terms and Conditions of the Warrants);</w:t>
      </w:r>
    </w:p>
    <w:p>
      <w:pPr>
        <w:spacing w:after="0" w:line="145" w:lineRule="exact"/>
        <w:rPr>
          <w:sz w:val="20"/>
          <w:szCs w:val="20"/>
          <w:color w:val="auto"/>
        </w:rPr>
      </w:pPr>
    </w:p>
    <w:p>
      <w:pPr>
        <w:ind w:left="1090"/>
        <w:spacing w:after="0"/>
        <w:rPr>
          <w:sz w:val="20"/>
          <w:szCs w:val="20"/>
          <w:color w:val="auto"/>
        </w:rPr>
      </w:pPr>
      <w:r>
        <w:rPr>
          <w:rFonts w:ascii="Times New Roman" w:cs="Times New Roman" w:eastAsia="Times New Roman" w:hAnsi="Times New Roman"/>
          <w:sz w:val="15"/>
          <w:szCs w:val="15"/>
          <w:color w:val="auto"/>
        </w:rPr>
        <w:t>hereby subscribes such number of Warrant Shares as is determined by the Calculation Agent in accordance with the Terms and Conditions (the “</w:t>
      </w:r>
      <w:r>
        <w:rPr>
          <w:rFonts w:ascii="Times New Roman" w:cs="Times New Roman" w:eastAsia="Times New Roman" w:hAnsi="Times New Roman"/>
          <w:sz w:val="15"/>
          <w:szCs w:val="15"/>
          <w:b w:val="1"/>
          <w:bCs w:val="1"/>
          <w:color w:val="auto"/>
        </w:rPr>
        <w:t>Exercised Shares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1630" w:right="340" w:hanging="539"/>
        <w:spacing w:after="0" w:line="280" w:lineRule="auto"/>
        <w:rPr>
          <w:sz w:val="20"/>
          <w:szCs w:val="20"/>
          <w:color w:val="auto"/>
        </w:rPr>
      </w:pPr>
      <w:r>
        <w:rPr>
          <w:rFonts w:ascii="Times New Roman" w:cs="Times New Roman" w:eastAsia="Times New Roman" w:hAnsi="Times New Roman"/>
          <w:sz w:val="15"/>
          <w:szCs w:val="15"/>
          <w:color w:val="auto"/>
        </w:rPr>
        <w:t>confirms that it is attaching to this Exercise Notice (1) a valid proof of the identity of the undersigned on behalf of the Holder and (2) as applicable, valid proof of the authority of the undersigned to sign this Exercise Notice on behalf of the Holder; and</w:t>
      </w:r>
    </w:p>
    <w:p>
      <w:pPr>
        <w:spacing w:after="0" w:line="138" w:lineRule="exact"/>
        <w:rPr>
          <w:sz w:val="20"/>
          <w:szCs w:val="20"/>
          <w:color w:val="auto"/>
        </w:rPr>
      </w:pPr>
    </w:p>
    <w:p>
      <w:pPr>
        <w:ind w:left="1630" w:right="240" w:hanging="539"/>
        <w:spacing w:after="0" w:line="253" w:lineRule="auto"/>
        <w:rPr>
          <w:sz w:val="20"/>
          <w:szCs w:val="20"/>
          <w:color w:val="auto"/>
        </w:rPr>
      </w:pPr>
      <w:r>
        <w:rPr>
          <w:rFonts w:ascii="Times New Roman" w:cs="Times New Roman" w:eastAsia="Times New Roman" w:hAnsi="Times New Roman"/>
          <w:sz w:val="15"/>
          <w:szCs w:val="15"/>
          <w:color w:val="auto"/>
        </w:rPr>
        <w:t>pays in whole and immediately an Aggregate Exercise Price (as defined in Section 2(b) and being equal to the product (which shall be a whole multiple of €0.03) of (i) €0.03 (being the Exercise Price per Warrant) and (ii) the number of Warrants exercised pursuant to this Exercise Notice) amounting to</w:t>
      </w:r>
    </w:p>
    <w:p>
      <w:pPr>
        <w:ind w:left="1630"/>
        <w:spacing w:after="0" w:line="180" w:lineRule="auto"/>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_________________________________________________________________________________________________________________________________</w:t>
      </w:r>
      <w:r>
        <w:rPr>
          <w:rFonts w:ascii="Times New Roman" w:cs="Times New Roman" w:eastAsia="Times New Roman" w:hAnsi="Times New Roman"/>
          <w:sz w:val="21"/>
          <w:szCs w:val="21"/>
          <w:color w:val="auto"/>
          <w:vertAlign w:val="superscript"/>
        </w:rPr>
        <w:t>8</w:t>
      </w:r>
    </w:p>
    <w:p>
      <w:pPr>
        <w:ind w:left="1630"/>
        <w:spacing w:after="0"/>
        <w:rPr>
          <w:sz w:val="20"/>
          <w:szCs w:val="20"/>
          <w:color w:val="auto"/>
        </w:rPr>
      </w:pPr>
      <w:r>
        <w:rPr>
          <w:rFonts w:ascii="Times New Roman" w:cs="Times New Roman" w:eastAsia="Times New Roman" w:hAnsi="Times New Roman"/>
          <w:sz w:val="15"/>
          <w:szCs w:val="15"/>
          <w:color w:val="auto"/>
        </w:rPr>
        <w:t>(€_________________</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5"/>
          <w:szCs w:val="15"/>
          <w:color w:val="auto"/>
        </w:rPr>
        <w:t>) by wire transfer to the Company of immediately available funds in Euros to the following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1043940</wp:posOffset>
            </wp:positionH>
            <wp:positionV relativeFrom="paragraph">
              <wp:posOffset>52705</wp:posOffset>
            </wp:positionV>
            <wp:extent cx="6111240" cy="943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11240" cy="943610"/>
                    </a:xfrm>
                    <a:prstGeom prst="rect">
                      <a:avLst/>
                    </a:prstGeom>
                    <a:noFill/>
                  </pic:spPr>
                </pic:pic>
              </a:graphicData>
            </a:graphic>
          </wp:anchor>
        </w:drawing>
      </w:r>
    </w:p>
    <w:p>
      <w:pPr>
        <w:spacing w:after="0" w:line="116" w:lineRule="exact"/>
        <w:rPr>
          <w:sz w:val="20"/>
          <w:szCs w:val="20"/>
          <w:color w:val="auto"/>
        </w:rPr>
      </w:pPr>
    </w:p>
    <w:p>
      <w:pPr>
        <w:ind w:left="1710"/>
        <w:spacing w:after="0"/>
        <w:rPr>
          <w:sz w:val="20"/>
          <w:szCs w:val="20"/>
          <w:color w:val="auto"/>
        </w:rPr>
      </w:pPr>
      <w:r>
        <w:rPr>
          <w:rFonts w:ascii="Times New Roman" w:cs="Times New Roman" w:eastAsia="Times New Roman" w:hAnsi="Times New Roman"/>
          <w:sz w:val="15"/>
          <w:szCs w:val="15"/>
          <w:color w:val="auto"/>
        </w:rPr>
        <w:t>Beneficiary</w:t>
      </w:r>
    </w:p>
    <w:p>
      <w:pPr>
        <w:spacing w:after="0" w:line="120" w:lineRule="exact"/>
        <w:rPr>
          <w:sz w:val="20"/>
          <w:szCs w:val="20"/>
          <w:color w:val="auto"/>
        </w:rPr>
      </w:pPr>
    </w:p>
    <w:p>
      <w:pPr>
        <w:ind w:left="1710"/>
        <w:spacing w:after="0"/>
        <w:rPr>
          <w:sz w:val="20"/>
          <w:szCs w:val="20"/>
          <w:color w:val="auto"/>
        </w:rPr>
      </w:pPr>
      <w:r>
        <w:rPr>
          <w:rFonts w:ascii="Times New Roman" w:cs="Times New Roman" w:eastAsia="Times New Roman" w:hAnsi="Times New Roman"/>
          <w:sz w:val="15"/>
          <w:szCs w:val="15"/>
          <w:color w:val="auto"/>
        </w:rPr>
        <w:t>IBAN</w:t>
      </w:r>
    </w:p>
    <w:p>
      <w:pPr>
        <w:spacing w:after="0" w:line="120" w:lineRule="exact"/>
        <w:rPr>
          <w:sz w:val="20"/>
          <w:szCs w:val="20"/>
          <w:color w:val="auto"/>
        </w:rPr>
      </w:pPr>
    </w:p>
    <w:p>
      <w:pPr>
        <w:ind w:left="1710"/>
        <w:spacing w:after="0"/>
        <w:rPr>
          <w:sz w:val="20"/>
          <w:szCs w:val="20"/>
          <w:color w:val="auto"/>
        </w:rPr>
      </w:pPr>
      <w:r>
        <w:rPr>
          <w:rFonts w:ascii="Times New Roman" w:cs="Times New Roman" w:eastAsia="Times New Roman" w:hAnsi="Times New Roman"/>
          <w:sz w:val="15"/>
          <w:szCs w:val="15"/>
          <w:color w:val="auto"/>
        </w:rPr>
        <w:t>BIC</w:t>
      </w:r>
    </w:p>
    <w:p>
      <w:pPr>
        <w:spacing w:after="0" w:line="120" w:lineRule="exact"/>
        <w:rPr>
          <w:sz w:val="20"/>
          <w:szCs w:val="20"/>
          <w:color w:val="auto"/>
        </w:rPr>
      </w:pPr>
    </w:p>
    <w:p>
      <w:pPr>
        <w:ind w:left="1710"/>
        <w:spacing w:after="0"/>
        <w:rPr>
          <w:sz w:val="20"/>
          <w:szCs w:val="20"/>
          <w:color w:val="auto"/>
        </w:rPr>
      </w:pPr>
      <w:r>
        <w:rPr>
          <w:rFonts w:ascii="Times New Roman" w:cs="Times New Roman" w:eastAsia="Times New Roman" w:hAnsi="Times New Roman"/>
          <w:sz w:val="15"/>
          <w:szCs w:val="15"/>
          <w:color w:val="auto"/>
        </w:rPr>
        <w:t>[●]</w:t>
      </w:r>
    </w:p>
    <w:p>
      <w:pPr>
        <w:spacing w:after="0" w:line="120" w:lineRule="exact"/>
        <w:rPr>
          <w:sz w:val="20"/>
          <w:szCs w:val="20"/>
          <w:color w:val="auto"/>
        </w:rPr>
      </w:pPr>
    </w:p>
    <w:p>
      <w:pPr>
        <w:ind w:left="1710"/>
        <w:spacing w:after="0"/>
        <w:rPr>
          <w:sz w:val="20"/>
          <w:szCs w:val="20"/>
          <w:color w:val="auto"/>
        </w:rPr>
      </w:pPr>
      <w:r>
        <w:rPr>
          <w:rFonts w:ascii="Times New Roman" w:cs="Times New Roman" w:eastAsia="Times New Roman" w:hAnsi="Times New Roman"/>
          <w:sz w:val="15"/>
          <w:szCs w:val="15"/>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564515</wp:posOffset>
            </wp:positionV>
            <wp:extent cx="137223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22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0" w:hanging="110"/>
        <w:spacing w:after="0"/>
        <w:tabs>
          <w:tab w:leader="none" w:pos="110" w:val="left"/>
        </w:tabs>
        <w:numPr>
          <w:ilvl w:val="0"/>
          <w:numId w:val="8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insert Aggregate Exercise Price in letters</w:t>
      </w:r>
    </w:p>
    <w:p>
      <w:pPr>
        <w:spacing w:after="0" w:line="73" w:lineRule="exact"/>
        <w:rPr>
          <w:sz w:val="20"/>
          <w:szCs w:val="20"/>
          <w:color w:val="auto"/>
        </w:rPr>
      </w:pPr>
    </w:p>
    <w:p>
      <w:pPr>
        <w:ind w:left="110" w:hanging="110"/>
        <w:spacing w:after="0"/>
        <w:tabs>
          <w:tab w:leader="none" w:pos="110" w:val="left"/>
        </w:tabs>
        <w:numPr>
          <w:ilvl w:val="0"/>
          <w:numId w:val="8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insert Aggregate Exercise Price in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55180"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350"/>
          </w:cols>
          <w:pgMar w:left="310" w:top="305" w:right="239" w:bottom="1440" w:gutter="0" w:footer="0" w:header="0"/>
        </w:sectPr>
      </w:pPr>
    </w:p>
    <w:bookmarkStart w:id="79" w:name="page80"/>
    <w:bookmarkEnd w:id="79"/>
    <w:p>
      <w:pPr>
        <w:ind w:left="550"/>
        <w:spacing w:after="0"/>
        <w:rPr>
          <w:sz w:val="20"/>
          <w:szCs w:val="20"/>
          <w:color w:val="auto"/>
        </w:rPr>
      </w:pPr>
      <w:r>
        <w:rPr>
          <w:rFonts w:ascii="Times New Roman" w:cs="Times New Roman" w:eastAsia="Times New Roman" w:hAnsi="Times New Roman"/>
          <w:sz w:val="15"/>
          <w:szCs w:val="15"/>
          <w:color w:val="auto"/>
        </w:rPr>
        <w:t>Pursuant to Section 2(e), on the Exercised Shares Delivery Date, the Exercised Shares will be delivered</w:t>
      </w:r>
      <w:r>
        <w:rPr>
          <w:rFonts w:ascii="Times New Roman" w:cs="Times New Roman" w:eastAsia="Times New Roman" w:hAnsi="Times New Roman"/>
          <w:sz w:val="25"/>
          <w:szCs w:val="25"/>
          <w:color w:val="auto"/>
          <w:vertAlign w:val="superscript"/>
        </w:rPr>
        <w:t>10</w:t>
      </w:r>
      <w:r>
        <w:rPr>
          <w:rFonts w:ascii="Times New Roman" w:cs="Times New Roman" w:eastAsia="Times New Roman" w:hAnsi="Times New Roman"/>
          <w:sz w:val="15"/>
          <w:szCs w:val="15"/>
          <w:color w:val="auto"/>
        </w:rPr>
        <w:t>:</w:t>
      </w:r>
    </w:p>
    <w:p>
      <w:pPr>
        <w:spacing w:after="0" w:line="82" w:lineRule="exact"/>
        <w:rPr>
          <w:sz w:val="20"/>
          <w:szCs w:val="20"/>
          <w:color w:val="auto"/>
        </w:rPr>
      </w:pPr>
    </w:p>
    <w:p>
      <w:pPr>
        <w:ind w:left="810" w:hanging="270"/>
        <w:spacing w:after="0"/>
        <w:tabs>
          <w:tab w:leader="none" w:pos="810" w:val="left"/>
        </w:tabs>
        <w:numPr>
          <w:ilvl w:val="0"/>
          <w:numId w:val="8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Option 1 – to the undersigned’s securities account opened in the name of the undersigned with the Registrar, or</w:t>
      </w:r>
    </w:p>
    <w:p>
      <w:pPr>
        <w:spacing w:after="0" w:line="187" w:lineRule="exact"/>
        <w:rPr>
          <w:rFonts w:ascii="MS PGothic" w:cs="MS PGothic" w:eastAsia="MS PGothic" w:hAnsi="MS PGothic"/>
          <w:sz w:val="15"/>
          <w:szCs w:val="15"/>
          <w:color w:val="auto"/>
        </w:rPr>
      </w:pPr>
    </w:p>
    <w:p>
      <w:pPr>
        <w:ind w:left="810" w:hanging="270"/>
        <w:spacing w:after="0"/>
        <w:tabs>
          <w:tab w:leader="none" w:pos="810" w:val="left"/>
        </w:tabs>
        <w:numPr>
          <w:ilvl w:val="0"/>
          <w:numId w:val="8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Option 2 – to the following securities account in the name of or for the benefit of the undersigned with a Financial Intermediary: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128270</wp:posOffset>
            </wp:positionV>
            <wp:extent cx="6583045" cy="943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83045" cy="943610"/>
                    </a:xfrm>
                    <a:prstGeom prst="rect">
                      <a:avLst/>
                    </a:prstGeom>
                    <a:noFill/>
                  </pic:spPr>
                </pic:pic>
              </a:graphicData>
            </a:graphic>
          </wp:anchor>
        </w:drawing>
      </w:r>
    </w:p>
    <w:p>
      <w:pPr>
        <w:spacing w:after="0" w:line="235"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5"/>
          <w:szCs w:val="15"/>
          <w:color w:val="auto"/>
        </w:rPr>
        <w:t>Place of Settlement (PSET)</w:t>
      </w:r>
    </w:p>
    <w:p>
      <w:pPr>
        <w:spacing w:after="0" w:line="12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5"/>
          <w:szCs w:val="15"/>
          <w:color w:val="auto"/>
        </w:rPr>
        <w:t>Bank</w:t>
      </w:r>
    </w:p>
    <w:p>
      <w:pPr>
        <w:spacing w:after="0" w:line="12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5"/>
          <w:szCs w:val="15"/>
          <w:color w:val="auto"/>
        </w:rPr>
        <w:t>Institution BIC Code</w:t>
      </w:r>
    </w:p>
    <w:p>
      <w:pPr>
        <w:spacing w:after="0" w:line="12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5"/>
          <w:szCs w:val="15"/>
          <w:color w:val="auto"/>
        </w:rPr>
        <w:t>ESES Institution Number</w:t>
      </w:r>
    </w:p>
    <w:p>
      <w:pPr>
        <w:spacing w:after="0" w:line="12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5"/>
          <w:szCs w:val="15"/>
          <w:color w:val="auto"/>
        </w:rPr>
        <w:t>Account number</w:t>
      </w:r>
    </w:p>
    <w:p>
      <w:pPr>
        <w:spacing w:after="0" w:line="255" w:lineRule="exact"/>
        <w:rPr>
          <w:sz w:val="20"/>
          <w:szCs w:val="20"/>
          <w:color w:val="auto"/>
        </w:rPr>
      </w:pPr>
    </w:p>
    <w:p>
      <w:pPr>
        <w:ind w:left="550"/>
        <w:spacing w:after="0" w:line="280" w:lineRule="auto"/>
        <w:rPr>
          <w:sz w:val="20"/>
          <w:szCs w:val="20"/>
          <w:color w:val="auto"/>
        </w:rPr>
      </w:pPr>
      <w:r>
        <w:rPr>
          <w:rFonts w:ascii="Times New Roman" w:cs="Times New Roman" w:eastAsia="Times New Roman" w:hAnsi="Times New Roman"/>
          <w:sz w:val="15"/>
          <w:szCs w:val="15"/>
          <w:color w:val="auto"/>
        </w:rPr>
        <w:t>In accordance with Section 4, if any fractional share is rounded down, a cash payment corresponding to such fractional share will be credited by or on behalf of the Company to the following undersigned’s EUR cash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96520</wp:posOffset>
            </wp:positionV>
            <wp:extent cx="6583045" cy="7575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83045" cy="757555"/>
                    </a:xfrm>
                    <a:prstGeom prst="rect">
                      <a:avLst/>
                    </a:prstGeom>
                    <a:noFill/>
                  </pic:spPr>
                </pic:pic>
              </a:graphicData>
            </a:graphic>
          </wp:anchor>
        </w:drawing>
      </w:r>
    </w:p>
    <w:p>
      <w:pPr>
        <w:spacing w:after="0" w:line="185"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5"/>
          <w:szCs w:val="15"/>
          <w:color w:val="auto"/>
        </w:rPr>
        <w:t>Beneficiary</w:t>
      </w:r>
    </w:p>
    <w:p>
      <w:pPr>
        <w:spacing w:after="0" w:line="12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5"/>
          <w:szCs w:val="15"/>
          <w:color w:val="auto"/>
        </w:rPr>
        <w:t>IBAN</w:t>
      </w:r>
    </w:p>
    <w:p>
      <w:pPr>
        <w:spacing w:after="0" w:line="12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5"/>
          <w:szCs w:val="15"/>
          <w:color w:val="auto"/>
        </w:rPr>
        <w:t>SWIFT</w:t>
      </w:r>
    </w:p>
    <w:p>
      <w:pPr>
        <w:spacing w:after="0" w:line="12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5"/>
          <w:szCs w:val="15"/>
          <w:color w:val="auto"/>
        </w:rPr>
        <w:t>Reference</w:t>
      </w:r>
    </w:p>
    <w:p>
      <w:pPr>
        <w:spacing w:after="0" w:line="2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Date: ___________________________________</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Name: ___________________________________</w:t>
      </w:r>
    </w:p>
    <w:p>
      <w:pPr>
        <w:spacing w:after="0" w:line="200" w:lineRule="exact"/>
        <w:rPr>
          <w:sz w:val="20"/>
          <w:szCs w:val="20"/>
          <w:color w:val="auto"/>
        </w:rPr>
      </w:pPr>
    </w:p>
    <w:p>
      <w:pPr>
        <w:spacing w:after="0" w:line="33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By: _________________________</w:t>
      </w:r>
      <w:r>
        <w:rPr>
          <w:rFonts w:ascii="Times New Roman" w:cs="Times New Roman" w:eastAsia="Times New Roman" w:hAnsi="Times New Roman"/>
          <w:sz w:val="25"/>
          <w:szCs w:val="25"/>
          <w:color w:val="auto"/>
          <w:vertAlign w:val="superscript"/>
        </w:rPr>
        <w:t>11</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Name: _________________________</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Title: _________________________</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Dated: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407035</wp:posOffset>
            </wp:positionV>
            <wp:extent cx="137223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2235" cy="698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70" w:hanging="170"/>
        <w:spacing w:after="0"/>
        <w:tabs>
          <w:tab w:leader="none" w:pos="170" w:val="left"/>
        </w:tabs>
        <w:numPr>
          <w:ilvl w:val="0"/>
          <w:numId w:val="8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Please elect as applicable by ticking the relevant box (and, if Option 2 applies, filling the table above).</w:t>
      </w:r>
    </w:p>
    <w:p>
      <w:pPr>
        <w:spacing w:after="0" w:line="127" w:lineRule="exact"/>
        <w:rPr>
          <w:rFonts w:ascii="Times New Roman" w:cs="Times New Roman" w:eastAsia="Times New Roman" w:hAnsi="Times New Roman"/>
          <w:sz w:val="25"/>
          <w:szCs w:val="25"/>
          <w:color w:val="auto"/>
          <w:vertAlign w:val="superscript"/>
        </w:rPr>
      </w:pPr>
    </w:p>
    <w:p>
      <w:pPr>
        <w:ind w:left="150" w:hanging="150"/>
        <w:spacing w:after="0" w:line="220" w:lineRule="auto"/>
        <w:tabs>
          <w:tab w:leader="none" w:pos="15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Please insert the following handwritten note above the signature “</w:t>
      </w:r>
      <w:r>
        <w:rPr>
          <w:rFonts w:ascii="Times New Roman" w:cs="Times New Roman" w:eastAsia="Times New Roman" w:hAnsi="Times New Roman"/>
          <w:sz w:val="13"/>
          <w:szCs w:val="13"/>
          <w:i w:val="1"/>
          <w:iCs w:val="1"/>
          <w:color w:val="auto"/>
        </w:rPr>
        <w:t>Valid for the subscription of the relevant number of Exercised Shares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7155180"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296" w:right="319" w:bottom="1440" w:gutter="0" w:footer="0" w:header="0"/>
        </w:sectPr>
      </w:pPr>
    </w:p>
    <w:bookmarkStart w:id="80" w:name="page81"/>
    <w:bookmarkEnd w:id="80"/>
    <w:p>
      <w:pPr>
        <w:spacing w:after="0" w:line="285" w:lineRule="auto"/>
        <w:rPr>
          <w:sz w:val="20"/>
          <w:szCs w:val="20"/>
          <w:color w:val="auto"/>
        </w:rPr>
      </w:pPr>
      <w:r>
        <w:rPr>
          <w:rFonts w:ascii="Times New Roman" w:cs="Times New Roman" w:eastAsia="Times New Roman" w:hAnsi="Times New Roman"/>
          <w:sz w:val="15"/>
          <w:szCs w:val="15"/>
          <w:b w:val="1"/>
          <w:bCs w:val="1"/>
          <w:color w:val="auto"/>
        </w:rPr>
        <w:t>The Company hereby acknowledges the above exercise notice and has, in reliance on the information regarding beneficial ownership of the Holder and the Attribution Parties provided by the Holder, determined that the exercise would not violate Section 2(f).</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_________________________</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_________________________</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_________________________</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221615</wp:posOffset>
            </wp:positionV>
            <wp:extent cx="7155180"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81" w:name="page82"/>
    <w:bookmarkEnd w:id="81"/>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Appendix B</w:t>
      </w:r>
    </w:p>
    <w:p>
      <w:pPr>
        <w:spacing w:after="0" w:line="18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b w:val="1"/>
          <w:bCs w:val="1"/>
          <w:color w:val="auto"/>
        </w:rPr>
        <w:t>Form of acknowledgement by the Registrar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[Holder]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Attention: [•]</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Copy to: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Attention</w:t>
      </w:r>
      <w:r>
        <w:rPr>
          <w:rFonts w:ascii="Times New Roman" w:cs="Times New Roman" w:eastAsia="Times New Roman" w:hAnsi="Times New Roman"/>
          <w:sz w:val="15"/>
          <w:szCs w:val="15"/>
          <w:color w:val="auto"/>
        </w:rPr>
        <w:t>: Finance Department (</w:t>
      </w:r>
      <w:r>
        <w:rPr>
          <w:rFonts w:ascii="Times New Roman" w:cs="Times New Roman" w:eastAsia="Times New Roman" w:hAnsi="Times New Roman"/>
          <w:sz w:val="15"/>
          <w:szCs w:val="15"/>
          <w:u w:val="single" w:color="auto"/>
          <w:color w:val="auto"/>
        </w:rPr>
        <w:t>bart.vanrhijn@nanobiotix.com</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Registrar hereby acknowledges this Exercise Notice attached hereto and receipt by the Company of the Aggregate Exercise Price in respect thereof.</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applicable Exercise Date in respect of such exercise of Warrants is [•].</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_________________________</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_________________________</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_________________________</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292735</wp:posOffset>
            </wp:positionV>
            <wp:extent cx="7155180"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139"/>
          </w:cols>
          <w:pgMar w:left="320" w:top="301" w:right="1440"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28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5180" cy="28575"/>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130810</wp:posOffset>
            </wp:positionV>
            <wp:extent cx="1029335" cy="1143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9335" cy="1143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PARTNERSHIP CONSTITUEE SELON LE DROIT DE L’OHIO, USA</w:t>
      </w:r>
    </w:p>
    <w:p>
      <w:pPr>
        <w:spacing w:after="0" w:line="1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AVOCATS AU BARREAU DE PARIS</w:t>
      </w:r>
    </w:p>
    <w:p>
      <w:pPr>
        <w:spacing w:after="0" w:line="1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2, RUE SAINT-FLORENTIN • 75001 PARIS</w:t>
      </w:r>
    </w:p>
    <w:p>
      <w:pPr>
        <w:spacing w:after="0" w:line="1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TELEPHONE: (0)1.56.59.39.39 • FACSIMILE: (0)1.56.59.39.38 • TOQUE J 001</w:t>
      </w:r>
    </w:p>
    <w:p>
      <w:pPr>
        <w:spacing w:after="0" w:line="1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JONESDAY.COM</w:t>
      </w:r>
    </w:p>
    <w:p>
      <w:pPr>
        <w:spacing w:after="0" w:line="11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May 26, 2026</w:t>
      </w:r>
    </w:p>
    <w:p>
      <w:pPr>
        <w:spacing w:after="0" w:line="2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Nanobiotix S.A.</w:t>
      </w:r>
    </w:p>
    <w:p>
      <w:pPr>
        <w:spacing w:after="0" w:line="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60, rue de Wattignies</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75012 Paris, France</w:t>
      </w:r>
    </w:p>
    <w:p>
      <w:pPr>
        <w:spacing w:after="0" w:line="118" w:lineRule="exact"/>
        <w:rPr>
          <w:sz w:val="20"/>
          <w:szCs w:val="20"/>
          <w:color w:val="auto"/>
        </w:rPr>
      </w:pPr>
    </w:p>
    <w:p>
      <w:pPr>
        <w:ind w:left="10" w:right="20"/>
        <w:spacing w:after="0" w:line="280" w:lineRule="auto"/>
        <w:rPr>
          <w:sz w:val="20"/>
          <w:szCs w:val="20"/>
          <w:color w:val="auto"/>
        </w:rPr>
      </w:pPr>
      <w:r>
        <w:rPr>
          <w:rFonts w:ascii="Times New Roman" w:cs="Times New Roman" w:eastAsia="Times New Roman" w:hAnsi="Times New Roman"/>
          <w:sz w:val="15"/>
          <w:szCs w:val="15"/>
          <w:color w:val="auto"/>
        </w:rPr>
        <w:t xml:space="preserve">Re: </w:t>
      </w:r>
      <w:r>
        <w:rPr>
          <w:rFonts w:ascii="Times New Roman" w:cs="Times New Roman" w:eastAsia="Times New Roman" w:hAnsi="Times New Roman"/>
          <w:sz w:val="15"/>
          <w:szCs w:val="15"/>
          <w:u w:val="single" w:color="auto"/>
          <w:color w:val="auto"/>
        </w:rPr>
        <w:t>2,218,467 Ordinary Shares of Nanobiotix S.A., including 225,373 U.S. Offering Shares to be Delivered in the Form of 225,373 American Depositary Shares and 33,805 Option Shares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to be Delivered in the Form of 33,805 American Depositary Shares, and 345,099 Pre-Funded Warrants</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29" w:lineRule="exact"/>
        <w:rPr>
          <w:sz w:val="20"/>
          <w:szCs w:val="20"/>
          <w:color w:val="auto"/>
        </w:rPr>
      </w:pPr>
    </w:p>
    <w:p>
      <w:pPr>
        <w:ind w:left="10" w:right="60"/>
        <w:spacing w:after="0" w:line="255" w:lineRule="auto"/>
        <w:rPr>
          <w:sz w:val="20"/>
          <w:szCs w:val="20"/>
          <w:color w:val="auto"/>
        </w:rPr>
      </w:pPr>
      <w:r>
        <w:rPr>
          <w:rFonts w:ascii="Times New Roman" w:cs="Times New Roman" w:eastAsia="Times New Roman" w:hAnsi="Times New Roman"/>
          <w:sz w:val="15"/>
          <w:szCs w:val="15"/>
          <w:color w:val="auto"/>
        </w:rPr>
        <w:t xml:space="preserve">We are acting as special French counsel for Nanobiotix S.A., a </w:t>
      </w:r>
      <w:r>
        <w:rPr>
          <w:rFonts w:ascii="Times New Roman" w:cs="Times New Roman" w:eastAsia="Times New Roman" w:hAnsi="Times New Roman"/>
          <w:sz w:val="15"/>
          <w:szCs w:val="15"/>
          <w:i w:val="1"/>
          <w:iCs w:val="1"/>
          <w:color w:val="auto"/>
        </w:rPr>
        <w:t>société anonyme</w:t>
      </w:r>
      <w:r>
        <w:rPr>
          <w:rFonts w:ascii="Times New Roman" w:cs="Times New Roman" w:eastAsia="Times New Roman" w:hAnsi="Times New Roman"/>
          <w:sz w:val="15"/>
          <w:szCs w:val="15"/>
          <w:color w:val="auto"/>
        </w:rPr>
        <w:t xml:space="preserve"> incorporated in the Republic of France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in connection with the issuance and sale by the Company of (i) 2,184,662 shares (the “</w:t>
      </w:r>
      <w:r>
        <w:rPr>
          <w:rFonts w:ascii="Times New Roman" w:cs="Times New Roman" w:eastAsia="Times New Roman" w:hAnsi="Times New Roman"/>
          <w:sz w:val="15"/>
          <w:szCs w:val="15"/>
          <w:u w:val="single" w:color="auto"/>
          <w:color w:val="auto"/>
        </w:rPr>
        <w:t>New Shares</w:t>
      </w:r>
      <w:r>
        <w:rPr>
          <w:rFonts w:ascii="Times New Roman" w:cs="Times New Roman" w:eastAsia="Times New Roman" w:hAnsi="Times New Roman"/>
          <w:sz w:val="15"/>
          <w:szCs w:val="15"/>
          <w:color w:val="auto"/>
        </w:rPr>
        <w:t>”) of the Company’s ordinary shares, €0.03 nominal value per share (the “</w:t>
      </w:r>
      <w:r>
        <w:rPr>
          <w:rFonts w:ascii="Times New Roman" w:cs="Times New Roman" w:eastAsia="Times New Roman" w:hAnsi="Times New Roman"/>
          <w:sz w:val="15"/>
          <w:szCs w:val="15"/>
          <w:u w:val="single" w:color="auto"/>
          <w:color w:val="auto"/>
        </w:rPr>
        <w:t>Ordinary Shares</w:t>
      </w:r>
      <w:r>
        <w:rPr>
          <w:rFonts w:ascii="Times New Roman" w:cs="Times New Roman" w:eastAsia="Times New Roman" w:hAnsi="Times New Roman"/>
          <w:sz w:val="15"/>
          <w:szCs w:val="15"/>
          <w:color w:val="auto"/>
        </w:rPr>
        <w:t>”), including 225,373 Ordinary Shares to be delivered in the form of an aggregate of 225,373 American Depositary Shares (“</w:t>
      </w:r>
      <w:r>
        <w:rPr>
          <w:rFonts w:ascii="Times New Roman" w:cs="Times New Roman" w:eastAsia="Times New Roman" w:hAnsi="Times New Roman"/>
          <w:sz w:val="15"/>
          <w:szCs w:val="15"/>
          <w:u w:val="single" w:color="auto"/>
          <w:color w:val="auto"/>
        </w:rPr>
        <w:t>ADSs</w:t>
      </w:r>
      <w:r>
        <w:rPr>
          <w:rFonts w:ascii="Times New Roman" w:cs="Times New Roman" w:eastAsia="Times New Roman" w:hAnsi="Times New Roman"/>
          <w:sz w:val="15"/>
          <w:szCs w:val="15"/>
          <w:color w:val="auto"/>
        </w:rPr>
        <w:t>”), each representing one Ordinary Share, (ii) 345,099 pre-funded warrants (</w:t>
      </w:r>
      <w:r>
        <w:rPr>
          <w:rFonts w:ascii="Times New Roman" w:cs="Times New Roman" w:eastAsia="Times New Roman" w:hAnsi="Times New Roman"/>
          <w:sz w:val="15"/>
          <w:szCs w:val="15"/>
          <w:i w:val="1"/>
          <w:iCs w:val="1"/>
          <w:color w:val="auto"/>
        </w:rPr>
        <w:t>bons de souscription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d’actions pre-financés</w:t>
      </w:r>
      <w:r>
        <w:rPr>
          <w:rFonts w:ascii="Times New Roman" w:cs="Times New Roman" w:eastAsia="Times New Roman" w:hAnsi="Times New Roman"/>
          <w:sz w:val="15"/>
          <w:szCs w:val="15"/>
          <w:color w:val="auto"/>
        </w:rPr>
        <w:t>) of the Company (the “</w:t>
      </w:r>
      <w:r>
        <w:rPr>
          <w:rFonts w:ascii="Times New Roman" w:cs="Times New Roman" w:eastAsia="Times New Roman" w:hAnsi="Times New Roman"/>
          <w:sz w:val="15"/>
          <w:szCs w:val="15"/>
          <w:u w:val="single" w:color="auto"/>
          <w:color w:val="auto"/>
        </w:rPr>
        <w:t>Pre-Funded Warrants</w:t>
      </w:r>
      <w:r>
        <w:rPr>
          <w:rFonts w:ascii="Times New Roman" w:cs="Times New Roman" w:eastAsia="Times New Roman" w:hAnsi="Times New Roman"/>
          <w:sz w:val="15"/>
          <w:szCs w:val="15"/>
          <w:color w:val="auto"/>
        </w:rPr>
        <w:t>”) to subscribe initially for 345,099 ordinary shares of the Company upon exercise (the “</w:t>
      </w:r>
      <w:r>
        <w:rPr>
          <w:rFonts w:ascii="Times New Roman" w:cs="Times New Roman" w:eastAsia="Times New Roman" w:hAnsi="Times New Roman"/>
          <w:sz w:val="15"/>
          <w:szCs w:val="15"/>
          <w:u w:val="single" w:color="auto"/>
          <w:color w:val="auto"/>
        </w:rPr>
        <w:t>Warrant Shares</w:t>
      </w:r>
      <w:r>
        <w:rPr>
          <w:rFonts w:ascii="Times New Roman" w:cs="Times New Roman" w:eastAsia="Times New Roman" w:hAnsi="Times New Roman"/>
          <w:sz w:val="15"/>
          <w:szCs w:val="15"/>
          <w:color w:val="auto"/>
        </w:rPr>
        <w:t>”), and (iii)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33,805 additional ordinary shares (the “</w:t>
      </w:r>
      <w:r>
        <w:rPr>
          <w:rFonts w:ascii="Times New Roman" w:cs="Times New Roman" w:eastAsia="Times New Roman" w:hAnsi="Times New Roman"/>
          <w:sz w:val="15"/>
          <w:szCs w:val="15"/>
          <w:u w:val="single" w:color="auto"/>
          <w:color w:val="auto"/>
        </w:rPr>
        <w:t>Option Shares</w:t>
      </w:r>
      <w:r>
        <w:rPr>
          <w:rFonts w:ascii="Times New Roman" w:cs="Times New Roman" w:eastAsia="Times New Roman" w:hAnsi="Times New Roman"/>
          <w:sz w:val="15"/>
          <w:szCs w:val="15"/>
          <w:color w:val="auto"/>
        </w:rPr>
        <w:t>”) to be delivered in the form of 33,805 ADSs pursuant to an Underwriting Agreement, dated as of May 21, 2026 (the “</w:t>
      </w:r>
      <w:r>
        <w:rPr>
          <w:rFonts w:ascii="Times New Roman" w:cs="Times New Roman" w:eastAsia="Times New Roman" w:hAnsi="Times New Roman"/>
          <w:sz w:val="15"/>
          <w:szCs w:val="15"/>
          <w:u w:val="single" w:color="auto"/>
          <w:color w:val="auto"/>
        </w:rPr>
        <w:t>Underwriting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by and between the Company and Jefferies LLC, Jefferies GmbH, TD Securities (USA) LLC, Stifel, Nicolaus &amp; Company, Incorporated and Stifel Europe Securities SAS, acting as representatives of the several underwriters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-596265</wp:posOffset>
            </wp:positionV>
            <wp:extent cx="2349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495" cy="6985"/>
                    </a:xfrm>
                    <a:prstGeom prst="rect">
                      <a:avLst/>
                    </a:prstGeom>
                    <a:noFill/>
                  </pic:spPr>
                </pic:pic>
              </a:graphicData>
            </a:graphic>
          </wp:anchor>
        </w:drawing>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In connection with the opinions expressed herein, we have examined such documents, records and matters of law as we have deemed relevant or necessary for purposes of such opinions.</w:t>
      </w:r>
    </w:p>
    <w:p>
      <w:pPr>
        <w:spacing w:after="0" w:line="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Based on the foregoing, and subject to the further limitations, qualifications and assumptions set forth herein, we are of the opinion that, as of the date hereof:</w:t>
      </w:r>
    </w:p>
    <w:p>
      <w:pPr>
        <w:spacing w:after="0" w:line="118" w:lineRule="exact"/>
        <w:rPr>
          <w:sz w:val="20"/>
          <w:szCs w:val="20"/>
          <w:color w:val="auto"/>
        </w:rPr>
      </w:pPr>
    </w:p>
    <w:p>
      <w:pPr>
        <w:ind w:left="410" w:hanging="410"/>
        <w:spacing w:after="0"/>
        <w:tabs>
          <w:tab w:leader="none" w:pos="41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the New Shares, the Pre-Funded Warrants, the Warrant Shares and the Option Shares have been duly authorized.</w:t>
      </w:r>
    </w:p>
    <w:p>
      <w:pPr>
        <w:spacing w:after="0" w:line="131" w:lineRule="exact"/>
        <w:rPr>
          <w:rFonts w:ascii="Times New Roman" w:cs="Times New Roman" w:eastAsia="Times New Roman" w:hAnsi="Times New Roman"/>
          <w:sz w:val="15"/>
          <w:szCs w:val="15"/>
          <w:color w:val="auto"/>
        </w:rPr>
      </w:pPr>
    </w:p>
    <w:p>
      <w:pPr>
        <w:ind w:left="10" w:right="100" w:hanging="10"/>
        <w:spacing w:after="0" w:line="265" w:lineRule="auto"/>
        <w:tabs>
          <w:tab w:leader="none" w:pos="422"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New Shares and the Option Shares, when issued and delivered pursuant to the terms of the Underwriting Agreement against full payment of their subscription price, as provided in the Underwriting Agreement, as shall be acknowledged by the certificate of the depository (</w:t>
      </w:r>
      <w:r>
        <w:rPr>
          <w:rFonts w:ascii="Times New Roman" w:cs="Times New Roman" w:eastAsia="Times New Roman" w:hAnsi="Times New Roman"/>
          <w:sz w:val="15"/>
          <w:szCs w:val="15"/>
          <w:i w:val="1"/>
          <w:iCs w:val="1"/>
          <w:color w:val="auto"/>
        </w:rPr>
        <w:t>certificat du dépositaire</w:t>
      </w:r>
      <w:r>
        <w:rPr>
          <w:rFonts w:ascii="Times New Roman" w:cs="Times New Roman" w:eastAsia="Times New Roman" w:hAnsi="Times New Roman"/>
          <w:sz w:val="15"/>
          <w:szCs w:val="15"/>
          <w:color w:val="auto"/>
        </w:rPr>
        <w:t>) to be delivered by CIC Securities,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789940</wp:posOffset>
            </wp:positionV>
            <wp:extent cx="7155180"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5180" cy="14605"/>
                    </a:xfrm>
                    <a:prstGeom prst="rect">
                      <a:avLst/>
                    </a:prstGeom>
                    <a:noFill/>
                  </pic:spPr>
                </pic:pic>
              </a:graphicData>
            </a:graphic>
          </wp:anchor>
        </w:drawing>
        <w:drawing>
          <wp:anchor simplePos="0" relativeHeight="251657728" behindDoc="1" locked="0" layoutInCell="0" allowOverlap="1">
            <wp:simplePos x="0" y="0"/>
            <wp:positionH relativeFrom="column">
              <wp:posOffset>986155</wp:posOffset>
            </wp:positionH>
            <wp:positionV relativeFrom="paragraph">
              <wp:posOffset>104140</wp:posOffset>
            </wp:positionV>
            <wp:extent cx="5182235" cy="5930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82235" cy="593090"/>
                    </a:xfrm>
                    <a:prstGeom prst="rect">
                      <a:avLst/>
                    </a:prstGeom>
                    <a:noFill/>
                  </pic:spPr>
                </pic:pic>
              </a:graphicData>
            </a:graphic>
          </wp:anchor>
        </w:drawing>
      </w:r>
    </w:p>
    <w:p>
      <w:pPr>
        <w:sectPr>
          <w:pgSz w:w="11900" w:h="16838" w:orient="portrait"/>
          <w:cols w:equalWidth="0" w:num="1">
            <w:col w:w="11270"/>
          </w:cols>
          <w:pgMar w:left="310" w:top="245" w:right="319" w:bottom="1440" w:gutter="0" w:footer="0" w:header="0"/>
        </w:sectPr>
      </w:pPr>
    </w:p>
    <w:bookmarkStart w:id="83" w:name="page84"/>
    <w:bookmarkEnd w:id="83"/>
    <w:p>
      <w:pPr>
        <w:ind w:left="10" w:right="260" w:hanging="10"/>
        <w:spacing w:after="0" w:line="280" w:lineRule="auto"/>
        <w:tabs>
          <w:tab w:leader="none" w:pos="422"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6458585</wp:posOffset>
            </wp:positionH>
            <wp:positionV relativeFrom="page">
              <wp:posOffset>88900</wp:posOffset>
            </wp:positionV>
            <wp:extent cx="893445" cy="1003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893445" cy="100330"/>
                    </a:xfrm>
                    <a:prstGeom prst="rect">
                      <a:avLst/>
                    </a:prstGeom>
                    <a:noFill/>
                  </pic:spPr>
                </pic:pic>
              </a:graphicData>
            </a:graphic>
          </wp:anchor>
        </w:drawing>
        <w:t>The Pre-Funded Warrants, when issued and delivered pursuant to the Underwriting Agreement against payment of the consideration therefor as provided therein, will constitute valid and binding obligations of the Company.</w:t>
      </w:r>
    </w:p>
    <w:p>
      <w:pPr>
        <w:spacing w:after="0" w:line="81" w:lineRule="exact"/>
        <w:rPr>
          <w:rFonts w:ascii="Times New Roman" w:cs="Times New Roman" w:eastAsia="Times New Roman" w:hAnsi="Times New Roman"/>
          <w:sz w:val="15"/>
          <w:szCs w:val="15"/>
          <w:color w:val="auto"/>
        </w:rPr>
      </w:pPr>
    </w:p>
    <w:p>
      <w:pPr>
        <w:ind w:left="10" w:right="320" w:hanging="10"/>
        <w:spacing w:after="0" w:line="280" w:lineRule="auto"/>
        <w:tabs>
          <w:tab w:leader="none" w:pos="422"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Warrant Shares, when issued upon exercise of the Pre-Funded Warrants pursuant to the terms of the Pre-Funded Warrants against payment of the exercise price therefor as provided in the Pre-Funded Warrants, will be validly issued, fully paid and non-assessable.</w:t>
      </w:r>
    </w:p>
    <w:p>
      <w:pPr>
        <w:spacing w:after="0" w:line="82" w:lineRule="exact"/>
        <w:rPr>
          <w:sz w:val="20"/>
          <w:szCs w:val="20"/>
          <w:color w:val="auto"/>
        </w:rPr>
      </w:pPr>
    </w:p>
    <w:p>
      <w:pPr>
        <w:ind w:left="10" w:right="240"/>
        <w:spacing w:after="0" w:line="260" w:lineRule="auto"/>
        <w:rPr>
          <w:sz w:val="20"/>
          <w:szCs w:val="20"/>
          <w:color w:val="auto"/>
        </w:rPr>
      </w:pPr>
      <w:r>
        <w:rPr>
          <w:rFonts w:ascii="Times New Roman" w:cs="Times New Roman" w:eastAsia="Times New Roman" w:hAnsi="Times New Roman"/>
          <w:sz w:val="15"/>
          <w:szCs w:val="15"/>
          <w:color w:val="auto"/>
        </w:rPr>
        <w:t>The term “non-assessable”, which has no recognized meaning in French law, for the purposes of this opinion means that no present or future holder of New Shares Warrant Shares and Option Shares will be subject to personal liability, by reason of being such a holder, for additional payments or calls for further funds by the Company or any other person after the issuance of the New Shares, the Warrant Shares and the Option Shares. The opinion expressed in paragraph 3 herein is subject to all applicable bankruptcy, insolvency, liquidation, reorganization, arrangement, moratorium and other laws relating to or affecting generally the enforcement of creditors’ rights and remedies.</w:t>
      </w:r>
    </w:p>
    <w:p>
      <w:pPr>
        <w:spacing w:after="0" w:line="97" w:lineRule="exact"/>
        <w:rPr>
          <w:sz w:val="20"/>
          <w:szCs w:val="20"/>
          <w:color w:val="auto"/>
        </w:rPr>
      </w:pPr>
    </w:p>
    <w:p>
      <w:pPr>
        <w:ind w:left="10"/>
        <w:spacing w:after="0" w:line="284" w:lineRule="auto"/>
        <w:rPr>
          <w:sz w:val="20"/>
          <w:szCs w:val="20"/>
          <w:color w:val="auto"/>
        </w:rPr>
      </w:pPr>
      <w:r>
        <w:rPr>
          <w:rFonts w:ascii="Times New Roman" w:cs="Times New Roman" w:eastAsia="Times New Roman" w:hAnsi="Times New Roman"/>
          <w:sz w:val="14"/>
          <w:szCs w:val="14"/>
          <w:color w:val="auto"/>
        </w:rPr>
        <w:t>In rendering the foregoing opinion, we have assumed the genuineness of all signatures, the authenticity of all documents submitted to us as originals and the conformity to originals of all documents submitted to us as certified or reproduced copies. We have also assumed that the resolutions authorizing the Company to issue, offer and sell the New Shares, the Pre-Funded Warrants, the Warrant Shares and the Option Shares as adopted by the combined ordinary and extraordinary meeting of shareholders and/or the supervisory board (</w:t>
      </w:r>
      <w:r>
        <w:rPr>
          <w:rFonts w:ascii="Times New Roman" w:cs="Times New Roman" w:eastAsia="Times New Roman" w:hAnsi="Times New Roman"/>
          <w:sz w:val="14"/>
          <w:szCs w:val="14"/>
          <w:i w:val="1"/>
          <w:iCs w:val="1"/>
          <w:color w:val="auto"/>
        </w:rPr>
        <w:t>conseil de surveillance</w:t>
      </w:r>
      <w:r>
        <w:rPr>
          <w:rFonts w:ascii="Times New Roman" w:cs="Times New Roman" w:eastAsia="Times New Roman" w:hAnsi="Times New Roman"/>
          <w:sz w:val="14"/>
          <w:szCs w:val="14"/>
          <w:color w:val="auto"/>
        </w:rPr>
        <w:t>) and/or management board (</w:t>
      </w:r>
      <w:r>
        <w:rPr>
          <w:rFonts w:ascii="Times New Roman" w:cs="Times New Roman" w:eastAsia="Times New Roman" w:hAnsi="Times New Roman"/>
          <w:sz w:val="14"/>
          <w:szCs w:val="14"/>
          <w:i w:val="1"/>
          <w:iCs w:val="1"/>
          <w:color w:val="auto"/>
        </w:rPr>
        <w:t>directoire</w:t>
      </w:r>
      <w:r>
        <w:rPr>
          <w:rFonts w:ascii="Times New Roman" w:cs="Times New Roman" w:eastAsia="Times New Roman" w:hAnsi="Times New Roman"/>
          <w:sz w:val="14"/>
          <w:szCs w:val="14"/>
          <w:color w:val="auto"/>
        </w:rPr>
        <w:t>) of the Company, as applicable, are accurately reflected in the minutes of such meetings provided to us, and remain in full force and effect.</w:t>
      </w:r>
    </w:p>
    <w:p>
      <w:pPr>
        <w:spacing w:after="0" w:line="82" w:lineRule="exact"/>
        <w:rPr>
          <w:sz w:val="20"/>
          <w:szCs w:val="20"/>
          <w:color w:val="auto"/>
        </w:rPr>
      </w:pPr>
    </w:p>
    <w:p>
      <w:pPr>
        <w:ind w:left="10" w:right="40"/>
        <w:spacing w:after="0" w:line="260" w:lineRule="auto"/>
        <w:rPr>
          <w:sz w:val="20"/>
          <w:szCs w:val="20"/>
          <w:color w:val="auto"/>
        </w:rPr>
      </w:pPr>
      <w:r>
        <w:rPr>
          <w:rFonts w:ascii="Times New Roman" w:cs="Times New Roman" w:eastAsia="Times New Roman" w:hAnsi="Times New Roman"/>
          <w:sz w:val="15"/>
          <w:szCs w:val="15"/>
          <w:color w:val="auto"/>
        </w:rPr>
        <w:t>As to facts material to the opinions and assumptions expressed herein, we have relied upon written statements and representations of officers of the Company and others. We are members of the Paris bar and this opinion is limited to the laws of the Republic of France as currently in effect. This opinion is subject to the sovereign power of the French courts to interpret agreements and assess the facts and circumstances of any adjudication. This opinion is given on the basis that it is to be governed by, and construed in accordance with, the laws of the Republic of France.</w:t>
      </w:r>
    </w:p>
    <w:p>
      <w:pPr>
        <w:spacing w:after="0" w:line="97"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15"/>
          <w:szCs w:val="15"/>
          <w:color w:val="auto"/>
        </w:rPr>
        <w:t>We hereby consent to the filing of this opinion as Exhibit 5.1 to the Current Report on Form 6-K, filed on the date hereof by the Company and incorporated by reference into the registration statement on Form F-3 (File No. 333-285604)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filed by the Company to effect the registration of the New Shares, the Warrant Shares and the Option Shares under the Securities Act of 1933 (the “</w:t>
      </w:r>
      <w:r>
        <w:rPr>
          <w:rFonts w:ascii="Times New Roman" w:cs="Times New Roman" w:eastAsia="Times New Roman" w:hAnsi="Times New Roman"/>
          <w:sz w:val="15"/>
          <w:szCs w:val="15"/>
          <w:u w:val="single" w:color="auto"/>
          <w:color w:val="auto"/>
        </w:rPr>
        <w:t>Act</w:t>
      </w:r>
      <w:r>
        <w:rPr>
          <w:rFonts w:ascii="Times New Roman" w:cs="Times New Roman" w:eastAsia="Times New Roman" w:hAnsi="Times New Roman"/>
          <w:sz w:val="15"/>
          <w:szCs w:val="15"/>
          <w:color w:val="auto"/>
        </w:rPr>
        <w:t>”), and to the reference to Jones Day under the caption “Legal Matters” in the prospectus constituting a part of such Registration Statement and the final prospectus supplement, dated as of May 21, 2026, filed by the Company pursuant to Rule 424(b) under the Act on May 22, 2026, relating to the New Shares. In giving such consent, we do not hereby admit that we are included in the category of persons whose consent is required under Section 7 of the Securities Act or the rules and regulations of the Securities and Exchange Commission promulgated thereunder.</w:t>
      </w:r>
    </w:p>
    <w:p>
      <w:pPr>
        <w:spacing w:after="0" w:line="157" w:lineRule="exact"/>
        <w:rPr>
          <w:sz w:val="20"/>
          <w:szCs w:val="20"/>
          <w:color w:val="auto"/>
        </w:rPr>
      </w:pPr>
    </w:p>
    <w:p>
      <w:pPr>
        <w:ind w:left="563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88" w:lineRule="exact"/>
        <w:rPr>
          <w:sz w:val="20"/>
          <w:szCs w:val="20"/>
          <w:color w:val="auto"/>
        </w:rPr>
      </w:pPr>
    </w:p>
    <w:p>
      <w:pPr>
        <w:ind w:left="5630"/>
        <w:spacing w:after="0"/>
        <w:rPr>
          <w:sz w:val="20"/>
          <w:szCs w:val="20"/>
          <w:color w:val="auto"/>
        </w:rPr>
      </w:pPr>
      <w:r>
        <w:rPr>
          <w:rFonts w:ascii="Times New Roman" w:cs="Times New Roman" w:eastAsia="Times New Roman" w:hAnsi="Times New Roman"/>
          <w:sz w:val="15"/>
          <w:szCs w:val="15"/>
          <w:color w:val="auto"/>
        </w:rPr>
        <w:t>/s/ Jones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155180"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sectPr>
      <w:pgSz w:w="11900" w:h="16838" w:orient="portrait"/>
      <w:cols w:equalWidth="0" w:num="1">
        <w:col w:w="11230"/>
      </w:cols>
      <w:pgMar w:left="310" w:top="40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1)"/>
      <w:numFmt w:val="lowerRoman"/>
      <w:start w:val="2"/>
    </w:lvl>
  </w:abstractNum>
  <w:abstractNum w:abstractNumId="2">
    <w:nsid w:val="725A06FB"/>
    <w:multiLevelType w:val="hybridMultilevel"/>
    <w:lvl w:ilvl="0">
      <w:lvlJc w:val="left"/>
      <w:lvlText w:val="(%1)"/>
      <w:numFmt w:val="lowerLetter"/>
      <w:start w:val="1"/>
    </w:lvl>
  </w:abstractNum>
  <w:abstractNum w:abstractNumId="3">
    <w:nsid w:val="2CD89A32"/>
    <w:multiLevelType w:val="hybridMultilevel"/>
    <w:lvl w:ilvl="0">
      <w:lvlJc w:val="left"/>
      <w:lvlText w:val="(%1)"/>
      <w:numFmt w:val="lowerLetter"/>
      <w:start w:val="2"/>
    </w:lvl>
    <w:lvl w:ilvl="1">
      <w:lvlJc w:val="left"/>
      <w:lvlText w:val="(%2)"/>
      <w:numFmt w:val="lowerLetter"/>
      <w:start w:val="3"/>
    </w:lvl>
  </w:abstractNum>
  <w:abstractNum w:abstractNumId="4">
    <w:nsid w:val="57E4CCAF"/>
    <w:multiLevelType w:val="hybridMultilevel"/>
    <w:lvl w:ilvl="0">
      <w:lvlJc w:val="left"/>
      <w:lvlText w:val="%1"/>
      <w:numFmt w:val="lowerLetter"/>
      <w:start w:val="1"/>
    </w:lvl>
    <w:lvl w:ilvl="1">
      <w:lvlJc w:val="left"/>
      <w:lvlText w:val="(%2)"/>
      <w:numFmt w:val="lowerLetter"/>
      <w:start w:val="4"/>
    </w:lvl>
  </w:abstractNum>
  <w:abstractNum w:abstractNumId="5">
    <w:nsid w:val="7A6D8D3C"/>
    <w:multiLevelType w:val="hybridMultilevel"/>
    <w:lvl w:ilvl="0">
      <w:lvlJc w:val="left"/>
      <w:lvlText w:val="(%1)"/>
      <w:numFmt w:val="lowerLetter"/>
      <w:start w:val="5"/>
    </w:lvl>
    <w:lvl w:ilvl="1">
      <w:lvlJc w:val="left"/>
      <w:lvlText w:val="%2"/>
      <w:numFmt w:val="lowerLetter"/>
      <w:start w:val="1"/>
    </w:lvl>
  </w:abstractNum>
  <w:abstractNum w:abstractNumId="6">
    <w:nsid w:val="4B588F54"/>
    <w:multiLevelType w:val="hybridMultilevel"/>
    <w:lvl w:ilvl="0">
      <w:lvlJc w:val="left"/>
      <w:lvlText w:val="(%1)"/>
      <w:numFmt w:val="lowerLetter"/>
      <w:start w:val="8"/>
    </w:lvl>
  </w:abstractNum>
  <w:abstractNum w:abstractNumId="7">
    <w:nsid w:val="542289EC"/>
    <w:multiLevelType w:val="hybridMultilevel"/>
    <w:lvl w:ilvl="0">
      <w:lvlJc w:val="left"/>
      <w:lvlText w:val="%1"/>
      <w:numFmt w:val="lowerLetter"/>
      <w:start w:val="1"/>
    </w:lvl>
    <w:lvl w:ilvl="1">
      <w:lvlJc w:val="left"/>
      <w:lvlText w:val="(%2)"/>
      <w:numFmt w:val="lowerLetter"/>
      <w:start w:val="11"/>
    </w:lvl>
  </w:abstractNum>
  <w:abstractNum w:abstractNumId="8">
    <w:nsid w:val="6DE91B18"/>
    <w:multiLevelType w:val="hybridMultilevel"/>
    <w:lvl w:ilvl="0">
      <w:lvlJc w:val="left"/>
      <w:lvlText w:val="(%1)"/>
      <w:numFmt w:val="lowerLetter"/>
      <w:start w:val="61"/>
    </w:lvl>
    <w:lvl w:ilvl="1">
      <w:lvlJc w:val="left"/>
      <w:lvlText w:val="(%2)"/>
      <w:numFmt w:val="lowerLetter"/>
      <w:start w:val="12"/>
    </w:lvl>
  </w:abstractNum>
  <w:abstractNum w:abstractNumId="9">
    <w:nsid w:val="38437FDB"/>
    <w:multiLevelType w:val="hybridMultilevel"/>
    <w:lvl w:ilvl="0">
      <w:lvlJc w:val="left"/>
      <w:lvlText w:val="(%1)"/>
      <w:numFmt w:val="lowerLetter"/>
      <w:start w:val="13"/>
    </w:lvl>
  </w:abstractNum>
  <w:abstractNum w:abstractNumId="10">
    <w:nsid w:val="7644A45C"/>
    <w:multiLevelType w:val="hybridMultilevel"/>
    <w:lvl w:ilvl="0">
      <w:lvlJc w:val="left"/>
      <w:lvlText w:val="(%1)"/>
      <w:numFmt w:val="lowerLetter"/>
      <w:start w:val="16"/>
    </w:lvl>
  </w:abstractNum>
  <w:abstractNum w:abstractNumId="11">
    <w:nsid w:val="32FFF902"/>
    <w:multiLevelType w:val="hybridMultilevel"/>
    <w:lvl w:ilvl="0">
      <w:lvlJc w:val="left"/>
      <w:lvlText w:val="(%1)"/>
      <w:numFmt w:val="lowerLetter"/>
      <w:start w:val="18"/>
    </w:lvl>
  </w:abstractNum>
  <w:abstractNum w:abstractNumId="12">
    <w:nsid w:val="684A481A"/>
    <w:multiLevelType w:val="hybridMultilevel"/>
    <w:lvl w:ilvl="0">
      <w:lvlJc w:val="left"/>
      <w:lvlText w:val="%1"/>
      <w:numFmt w:val="upperLetter"/>
      <w:start w:val="1"/>
    </w:lvl>
    <w:lvl w:ilvl="1">
      <w:lvlJc w:val="left"/>
      <w:lvlText w:val="(%2)"/>
      <w:numFmt w:val="lowerLetter"/>
      <w:start w:val="22"/>
    </w:lvl>
  </w:abstractNum>
  <w:abstractNum w:abstractNumId="13">
    <w:nsid w:val="579478FE"/>
    <w:multiLevelType w:val="hybridMultilevel"/>
    <w:lvl w:ilvl="0">
      <w:lvlJc w:val="left"/>
      <w:lvlText w:val="(%1)"/>
      <w:numFmt w:val="upperLetter"/>
      <w:start w:val="1"/>
    </w:lvl>
    <w:lvl w:ilvl="1">
      <w:lvlJc w:val="left"/>
      <w:lvlText w:val="(%2)"/>
      <w:numFmt w:val="lowerLetter"/>
      <w:start w:val="24"/>
    </w:lvl>
  </w:abstractNum>
  <w:abstractNum w:abstractNumId="14">
    <w:nsid w:val="749ABB43"/>
    <w:multiLevelType w:val="hybridMultilevel"/>
    <w:lvl w:ilvl="0">
      <w:lvlJc w:val="left"/>
      <w:lvlText w:val="(%1)"/>
      <w:numFmt w:val="lowerLetter"/>
      <w:start w:val="26"/>
    </w:lvl>
  </w:abstractNum>
  <w:abstractNum w:abstractNumId="15">
    <w:nsid w:val="3DC240FB"/>
    <w:multiLevelType w:val="hybridMultilevel"/>
    <w:lvl w:ilvl="0">
      <w:lvlJc w:val="left"/>
      <w:lvlText w:val="(%1)"/>
      <w:numFmt w:val="lowerLetter"/>
      <w:start w:val="27"/>
    </w:lvl>
  </w:abstractNum>
  <w:abstractNum w:abstractNumId="16">
    <w:nsid w:val="1BA026FA"/>
    <w:multiLevelType w:val="hybridMultilevel"/>
    <w:lvl w:ilvl="0">
      <w:lvlJc w:val="left"/>
      <w:lvlText w:val="(%1)"/>
      <w:numFmt w:val="lowerLetter"/>
      <w:start w:val="29"/>
    </w:lvl>
  </w:abstractNum>
  <w:abstractNum w:abstractNumId="17">
    <w:nsid w:val="79A1DEAA"/>
    <w:multiLevelType w:val="hybridMultilevel"/>
    <w:lvl w:ilvl="0">
      <w:lvlJc w:val="left"/>
      <w:lvlText w:val="(%1)"/>
      <w:numFmt w:val="lowerLetter"/>
      <w:start w:val="33"/>
    </w:lvl>
  </w:abstractNum>
  <w:abstractNum w:abstractNumId="18">
    <w:nsid w:val="75C6C33A"/>
    <w:multiLevelType w:val="hybridMultilevel"/>
    <w:lvl w:ilvl="0">
      <w:lvlJc w:val="left"/>
      <w:lvlText w:val="(%1)"/>
      <w:numFmt w:val="lowerLetter"/>
      <w:start w:val="39"/>
    </w:lvl>
  </w:abstractNum>
  <w:abstractNum w:abstractNumId="19">
    <w:nsid w:val="12E685FB"/>
    <w:multiLevelType w:val="hybridMultilevel"/>
    <w:lvl w:ilvl="0">
      <w:lvlJc w:val="left"/>
      <w:lvlText w:val="(%1)"/>
      <w:numFmt w:val="lowerLetter"/>
      <w:start w:val="44"/>
    </w:lvl>
    <w:lvl w:ilvl="1">
      <w:lvlJc w:val="left"/>
      <w:lvlText w:val="(%2)"/>
      <w:numFmt w:val="lowerRoman"/>
      <w:start w:val="1"/>
    </w:lvl>
  </w:abstractNum>
  <w:abstractNum w:abstractNumId="20">
    <w:nsid w:val="70C6A529"/>
    <w:multiLevelType w:val="hybridMultilevel"/>
    <w:lvl w:ilvl="0">
      <w:lvlJc w:val="left"/>
      <w:lvlText w:val="(%1)"/>
      <w:numFmt w:val="lowerLetter"/>
      <w:start w:val="48"/>
    </w:lvl>
  </w:abstractNum>
  <w:abstractNum w:abstractNumId="21">
    <w:nsid w:val="520EEDD1"/>
    <w:multiLevelType w:val="hybridMultilevel"/>
    <w:lvl w:ilvl="0">
      <w:lvlJc w:val="left"/>
      <w:lvlText w:val="(%1)"/>
      <w:numFmt w:val="lowerLetter"/>
      <w:start w:val="52"/>
    </w:lvl>
  </w:abstractNum>
  <w:abstractNum w:abstractNumId="22">
    <w:nsid w:val="374A3FE6"/>
    <w:multiLevelType w:val="hybridMultilevel"/>
    <w:lvl w:ilvl="0">
      <w:lvlJc w:val="left"/>
      <w:lvlText w:val="%1"/>
      <w:numFmt w:val="lowerLetter"/>
      <w:start w:val="1"/>
    </w:lvl>
    <w:lvl w:ilvl="1">
      <w:lvlJc w:val="left"/>
      <w:lvlText w:val="(%2)"/>
      <w:numFmt w:val="lowerLetter"/>
      <w:start w:val="53"/>
    </w:lvl>
  </w:abstractNum>
  <w:abstractNum w:abstractNumId="23">
    <w:nsid w:val="4F4EF005"/>
    <w:multiLevelType w:val="hybridMultilevel"/>
    <w:lvl w:ilvl="0">
      <w:lvlJc w:val="left"/>
      <w:lvlText w:val="(%1)"/>
      <w:numFmt w:val="lowerLetter"/>
      <w:start w:val="35"/>
    </w:lvl>
    <w:lvl w:ilvl="1">
      <w:lvlJc w:val="left"/>
      <w:lvlText w:val="%2"/>
      <w:numFmt w:val="lowerLetter"/>
      <w:start w:val="1"/>
    </w:lvl>
  </w:abstractNum>
  <w:abstractNum w:abstractNumId="24">
    <w:nsid w:val="23F9C13C"/>
    <w:multiLevelType w:val="hybridMultilevel"/>
    <w:lvl w:ilvl="0">
      <w:lvlJc w:val="left"/>
      <w:lvlText w:val="(%1)"/>
      <w:numFmt w:val="lowerLetter"/>
      <w:start w:val="54"/>
    </w:lvl>
  </w:abstractNum>
  <w:abstractNum w:abstractNumId="25">
    <w:nsid w:val="649BB77C"/>
    <w:multiLevelType w:val="hybridMultilevel"/>
    <w:lvl w:ilvl="0">
      <w:lvlJc w:val="left"/>
      <w:lvlText w:val="(%1)"/>
      <w:numFmt w:val="lowerLetter"/>
      <w:start w:val="1"/>
    </w:lvl>
  </w:abstractNum>
  <w:abstractNum w:abstractNumId="26">
    <w:nsid w:val="275AC794"/>
    <w:multiLevelType w:val="hybridMultilevel"/>
    <w:lvl w:ilvl="0">
      <w:lvlJc w:val="left"/>
      <w:lvlText w:val="(%1)"/>
      <w:numFmt w:val="lowerLetter"/>
      <w:start w:val="3"/>
    </w:lvl>
  </w:abstractNum>
  <w:abstractNum w:abstractNumId="27">
    <w:nsid w:val="39386575"/>
    <w:multiLevelType w:val="hybridMultilevel"/>
    <w:lvl w:ilvl="0">
      <w:lvlJc w:val="left"/>
      <w:lvlText w:val="(%1)"/>
      <w:numFmt w:val="lowerLetter"/>
      <w:start w:val="5"/>
    </w:lvl>
  </w:abstractNum>
  <w:abstractNum w:abstractNumId="28">
    <w:nsid w:val="1CF10FD8"/>
    <w:multiLevelType w:val="hybridMultilevel"/>
    <w:lvl w:ilvl="0">
      <w:lvlJc w:val="left"/>
      <w:lvlText w:val="(%1)"/>
      <w:numFmt w:val="lowerLetter"/>
      <w:start w:val="6"/>
    </w:lvl>
  </w:abstractNum>
  <w:abstractNum w:abstractNumId="29">
    <w:nsid w:val="180115BE"/>
    <w:multiLevelType w:val="hybridMultilevel"/>
    <w:lvl w:ilvl="0">
      <w:lvlJc w:val="left"/>
      <w:lvlText w:val="(%1)"/>
      <w:numFmt w:val="lowerLetter"/>
      <w:start w:val="1"/>
    </w:lvl>
  </w:abstractNum>
  <w:abstractNum w:abstractNumId="30">
    <w:nsid w:val="235BA861"/>
    <w:multiLevelType w:val="hybridMultilevel"/>
    <w:lvl w:ilvl="0">
      <w:lvlJc w:val="left"/>
      <w:lvlText w:val="(%1)"/>
      <w:numFmt w:val="lowerLetter"/>
      <w:start w:val="2"/>
    </w:lvl>
  </w:abstractNum>
  <w:abstractNum w:abstractNumId="31">
    <w:nsid w:val="47398C89"/>
    <w:multiLevelType w:val="hybridMultilevel"/>
    <w:lvl w:ilvl="0">
      <w:lvlJc w:val="left"/>
      <w:lvlText w:val="(%1)"/>
      <w:numFmt w:val="lowerLetter"/>
      <w:start w:val="5"/>
    </w:lvl>
  </w:abstractNum>
  <w:abstractNum w:abstractNumId="32">
    <w:nsid w:val="354FE9F9"/>
    <w:multiLevelType w:val="hybridMultilevel"/>
    <w:lvl w:ilvl="0">
      <w:lvlJc w:val="left"/>
      <w:lvlText w:val="(%1)"/>
      <w:numFmt w:val="lowerLetter"/>
      <w:start w:val="8"/>
    </w:lvl>
  </w:abstractNum>
  <w:abstractNum w:abstractNumId="33">
    <w:nsid w:val="15B5AF5C"/>
    <w:multiLevelType w:val="hybridMultilevel"/>
    <w:lvl w:ilvl="0">
      <w:lvlJc w:val="left"/>
      <w:lvlText w:val="(%1)"/>
      <w:numFmt w:val="lowerLetter"/>
      <w:start w:val="14"/>
    </w:lvl>
  </w:abstractNum>
  <w:abstractNum w:abstractNumId="34">
    <w:nsid w:val="741226BB"/>
    <w:multiLevelType w:val="hybridMultilevel"/>
    <w:lvl w:ilvl="0">
      <w:lvlJc w:val="left"/>
      <w:lvlText w:val="(%1)"/>
      <w:numFmt w:val="lowerLetter"/>
      <w:start w:val="15"/>
    </w:lvl>
  </w:abstractNum>
  <w:abstractNum w:abstractNumId="35">
    <w:nsid w:val="D34B6A8"/>
    <w:multiLevelType w:val="hybridMultilevel"/>
    <w:lvl w:ilvl="0">
      <w:lvlJc w:val="left"/>
      <w:lvlText w:val="(%1)"/>
      <w:numFmt w:val="lowerLetter"/>
      <w:start w:val="17"/>
    </w:lvl>
  </w:abstractNum>
  <w:abstractNum w:abstractNumId="36">
    <w:nsid w:val="10233C99"/>
    <w:multiLevelType w:val="hybridMultilevel"/>
    <w:lvl w:ilvl="0">
      <w:lvlJc w:val="left"/>
      <w:lvlText w:val="(%1)"/>
      <w:numFmt w:val="lowerLetter"/>
      <w:start w:val="23"/>
    </w:lvl>
  </w:abstractNum>
  <w:abstractNum w:abstractNumId="37">
    <w:nsid w:val="3F6AB60F"/>
    <w:multiLevelType w:val="hybridMultilevel"/>
    <w:lvl w:ilvl="0">
      <w:lvlJc w:val="left"/>
      <w:lvlText w:val="(%1)"/>
      <w:numFmt w:val="lowerLetter"/>
      <w:start w:val="27"/>
    </w:lvl>
  </w:abstractNum>
  <w:abstractNum w:abstractNumId="38">
    <w:nsid w:val="61574095"/>
    <w:multiLevelType w:val="hybridMultilevel"/>
    <w:lvl w:ilvl="0">
      <w:lvlJc w:val="left"/>
      <w:lvlText w:val="(%1)"/>
      <w:numFmt w:val="lowerLetter"/>
      <w:start w:val="1"/>
    </w:lvl>
  </w:abstractNum>
  <w:abstractNum w:abstractNumId="39">
    <w:nsid w:val="7E0C57B1"/>
    <w:multiLevelType w:val="hybridMultilevel"/>
    <w:lvl w:ilvl="0">
      <w:lvlJc w:val="left"/>
      <w:lvlText w:val="(%1)"/>
      <w:numFmt w:val="lowerLetter"/>
      <w:start w:val="2"/>
    </w:lvl>
    <w:lvl w:ilvl="1">
      <w:lvlJc w:val="left"/>
      <w:lvlText w:val="(%2)"/>
      <w:numFmt w:val="lowerRoman"/>
      <w:start w:val="1"/>
    </w:lvl>
  </w:abstractNum>
  <w:abstractNum w:abstractNumId="40">
    <w:nsid w:val="77AE35EB"/>
    <w:multiLevelType w:val="hybridMultilevel"/>
    <w:lvl w:ilvl="0">
      <w:lvlJc w:val="left"/>
      <w:lvlText w:val="(%1)"/>
      <w:numFmt w:val="lowerLetter"/>
      <w:start w:val="10"/>
    </w:lvl>
    <w:lvl w:ilvl="1">
      <w:lvlJc w:val="left"/>
      <w:lvlText w:val="(%2)"/>
      <w:numFmt w:val="lowerRoman"/>
      <w:start w:val="1"/>
    </w:lvl>
  </w:abstractNum>
  <w:abstractNum w:abstractNumId="41">
    <w:nsid w:val="579BE4F1"/>
    <w:multiLevelType w:val="hybridMultilevel"/>
    <w:lvl w:ilvl="0">
      <w:lvlJc w:val="left"/>
      <w:lvlText w:val="(%1)"/>
      <w:numFmt w:val="lowerLetter"/>
      <w:start w:val="18"/>
    </w:lvl>
  </w:abstractNum>
  <w:abstractNum w:abstractNumId="42">
    <w:nsid w:val="310C50B3"/>
    <w:multiLevelType w:val="hybridMultilevel"/>
    <w:lvl w:ilvl="0">
      <w:lvlJc w:val="left"/>
      <w:lvlText w:val="(%1)"/>
      <w:numFmt w:val="lowerLetter"/>
      <w:start w:val="1"/>
    </w:lvl>
  </w:abstractNum>
  <w:abstractNum w:abstractNumId="43">
    <w:nsid w:val="5FF87E05"/>
    <w:multiLevelType w:val="hybridMultilevel"/>
    <w:lvl w:ilvl="0">
      <w:lvlJc w:val="left"/>
      <w:lvlText w:val="(%1)"/>
      <w:numFmt w:val="lowerLetter"/>
      <w:start w:val="3"/>
    </w:lvl>
  </w:abstractNum>
  <w:abstractNum w:abstractNumId="44">
    <w:nsid w:val="2F305DEF"/>
    <w:multiLevelType w:val="hybridMultilevel"/>
    <w:lvl w:ilvl="0">
      <w:lvlJc w:val="left"/>
      <w:lvlText w:val="%1."/>
      <w:numFmt w:val="upperLetter"/>
      <w:start w:val="1"/>
    </w:lvl>
  </w:abstractNum>
  <w:abstractNum w:abstractNumId="45">
    <w:nsid w:val="25A70BF7"/>
    <w:multiLevelType w:val="hybridMultilevel"/>
    <w:lvl w:ilvl="0">
      <w:lvlJc w:val="left"/>
      <w:lvlText w:val="%1."/>
      <w:numFmt w:val="upperLetter"/>
      <w:start w:val="2"/>
    </w:lvl>
  </w:abstractNum>
  <w:abstractNum w:abstractNumId="46">
    <w:nsid w:val="1DBABF00"/>
    <w:multiLevelType w:val="hybridMultilevel"/>
    <w:lvl w:ilvl="0">
      <w:lvlJc w:val="left"/>
      <w:lvlText w:val="%1."/>
      <w:numFmt w:val="decimal"/>
      <w:start w:val="1"/>
    </w:lvl>
    <w:lvl w:ilvl="1">
      <w:lvlJc w:val="left"/>
      <w:lvlText w:val="%2."/>
      <w:numFmt w:val="lowerLetter"/>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lowerRoman"/>
      <w:start w:val="1"/>
    </w:lvl>
  </w:abstractNum>
  <w:abstractNum w:abstractNumId="49">
    <w:nsid w:val="1381823A"/>
    <w:multiLevelType w:val="hybridMultilevel"/>
    <w:lvl w:ilvl="0">
      <w:lvlJc w:val="left"/>
      <w:lvlText w:val="%1."/>
      <w:numFmt w:val="lowerRoman"/>
      <w:start w:val="7"/>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lvl w:ilvl="1">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1)"/>
      <w:numFmt w:val="lowerLetter"/>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1."/>
      <w:numFmt w:val="decimal"/>
      <w:start w:val="1"/>
    </w:lvl>
  </w:abstractNum>
  <w:abstractNum w:abstractNumId="56">
    <w:nsid w:val="799D0247"/>
    <w:multiLevelType w:val="hybridMultilevel"/>
    <w:lvl w:ilvl="0">
      <w:lvlJc w:val="left"/>
      <w:lvlText w:val="(%1)"/>
      <w:numFmt w:val="lowerLetter"/>
      <w:start w:val="2"/>
    </w:lvl>
  </w:abstractNum>
  <w:abstractNum w:abstractNumId="57">
    <w:nsid w:val="6B94764"/>
    <w:multiLevelType w:val="hybridMultilevel"/>
    <w:lvl w:ilvl="0">
      <w:lvlJc w:val="left"/>
      <w:lvlText w:val="%1."/>
      <w:numFmt w:val="decimal"/>
      <w:start w:val="1"/>
    </w:lvl>
    <w:lvl w:ilvl="1">
      <w:lvlJc w:val="left"/>
      <w:lvlText w:val="-"/>
      <w:numFmt w:val="bullet"/>
      <w:start w:val="1"/>
    </w:lvl>
  </w:abstractNum>
  <w:abstractNum w:abstractNumId="58">
    <w:nsid w:val="42C296BD"/>
    <w:multiLevelType w:val="hybridMultilevel"/>
    <w:lvl w:ilvl="0">
      <w:lvlJc w:val="left"/>
      <w:lvlText w:val="%1."/>
      <w:numFmt w:val="decimal"/>
      <w:start w:val="3"/>
    </w:lvl>
  </w:abstractNum>
  <w:abstractNum w:abstractNumId="59">
    <w:nsid w:val="168E121F"/>
    <w:multiLevelType w:val="hybridMultilevel"/>
    <w:lvl w:ilvl="0">
      <w:lvlJc w:val="left"/>
      <w:lvlText w:val="1"/>
      <w:numFmt w:val="bullet"/>
      <w:start w:val="1"/>
    </w:lvl>
  </w:abstractNum>
  <w:abstractNum w:abstractNumId="60">
    <w:nsid w:val="1EBA5D23"/>
    <w:multiLevelType w:val="hybridMultilevel"/>
    <w:lvl w:ilvl="0">
      <w:lvlJc w:val="left"/>
      <w:lvlText w:val="%1."/>
      <w:numFmt w:val="decimal"/>
      <w:start w:val="4"/>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o"/>
      <w:numFmt w:val="bullet"/>
      <w:start w:val="1"/>
    </w:lvl>
    <w:lvl w:ilvl="1">
      <w:lvlJc w:val="left"/>
      <w:lvlText w:val="(%2)"/>
      <w:numFmt w:val="lowerLetter"/>
      <w:start w:val="1"/>
    </w:lvl>
  </w:abstractNum>
  <w:abstractNum w:abstractNumId="63">
    <w:nsid w:val="540A471C"/>
    <w:multiLevelType w:val="hybridMultilevel"/>
    <w:lvl w:ilvl="0">
      <w:lvlJc w:val="left"/>
      <w:lvlText w:val="%1."/>
      <w:numFmt w:val="decimal"/>
      <w:start w:val="5"/>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1."/>
      <w:numFmt w:val="decimal"/>
      <w:start w:val="6"/>
    </w:lvl>
  </w:abstractNum>
  <w:abstractNum w:abstractNumId="68">
    <w:nsid w:val="11447B73"/>
    <w:multiLevelType w:val="hybridMultilevel"/>
    <w:lvl w:ilvl="0">
      <w:lvlJc w:val="left"/>
      <w:lvlText w:val="%1."/>
      <w:numFmt w:val="decimal"/>
      <w:start w:val="7"/>
    </w:lvl>
    <w:lvl w:ilvl="1">
      <w:lvlJc w:val="left"/>
      <w:lvlText w:val="-"/>
      <w:numFmt w:val="bullet"/>
      <w:start w:val="1"/>
    </w:lvl>
  </w:abstractNum>
  <w:abstractNum w:abstractNumId="69">
    <w:nsid w:val="42963E5A"/>
    <w:multiLevelType w:val="hybridMultilevel"/>
    <w:lvl w:ilvl="0">
      <w:lvlJc w:val="left"/>
      <w:lvlText w:val="%1."/>
      <w:numFmt w:val="decimal"/>
      <w:start w:val="9"/>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1)"/>
      <w:numFmt w:val="lowerLetter"/>
      <w:start w:val="2"/>
    </w:lvl>
  </w:abstractNum>
  <w:abstractNum w:abstractNumId="72">
    <w:nsid w:val="1A32234B"/>
    <w:multiLevelType w:val="hybridMultilevel"/>
    <w:lvl w:ilvl="0">
      <w:lvlJc w:val="left"/>
      <w:lvlText w:val="(%1)"/>
      <w:numFmt w:val="lowerLetter"/>
      <w:start w:val="2"/>
    </w:lvl>
  </w:abstractNum>
  <w:abstractNum w:abstractNumId="73">
    <w:nsid w:val="3B0FD379"/>
    <w:multiLevelType w:val="hybridMultilevel"/>
    <w:lvl w:ilvl="0">
      <w:lvlJc w:val="left"/>
      <w:lvlText w:val="2"/>
      <w:numFmt w:val="bullet"/>
      <w:start w:val="1"/>
    </w:lvl>
  </w:abstractNum>
  <w:abstractNum w:abstractNumId="74">
    <w:nsid w:val="68EB2F63"/>
    <w:multiLevelType w:val="hybridMultilevel"/>
    <w:lvl w:ilvl="0">
      <w:lvlJc w:val="left"/>
      <w:lvlText w:val="3"/>
      <w:numFmt w:val="bullet"/>
      <w:start w:val="1"/>
    </w:lvl>
  </w:abstractNum>
  <w:abstractNum w:abstractNumId="75">
    <w:nsid w:val="4962813B"/>
    <w:multiLevelType w:val="hybridMultilevel"/>
    <w:lvl w:ilvl="0">
      <w:lvlJc w:val="left"/>
      <w:lvlText w:val="4"/>
      <w:numFmt w:val="bullet"/>
      <w:start w:val="1"/>
    </w:lvl>
  </w:abstractNum>
  <w:abstractNum w:abstractNumId="76">
    <w:nsid w:val="60B6DF70"/>
    <w:multiLevelType w:val="hybridMultilevel"/>
    <w:lvl w:ilvl="0">
      <w:lvlJc w:val="left"/>
      <w:lvlText w:val="5"/>
      <w:numFmt w:val="bullet"/>
      <w:start w:val="1"/>
    </w:lvl>
  </w:abstractNum>
  <w:abstractNum w:abstractNumId="77">
    <w:nsid w:val="6A5EE64"/>
    <w:multiLevelType w:val="hybridMultilevel"/>
    <w:lvl w:ilvl="0">
      <w:lvlJc w:val="left"/>
      <w:lvlText w:val="6"/>
      <w:numFmt w:val="bullet"/>
      <w:start w:val="1"/>
    </w:lvl>
  </w:abstractNum>
  <w:abstractNum w:abstractNumId="78">
    <w:nsid w:val="14330624"/>
    <w:multiLevelType w:val="hybridMultilevel"/>
    <w:lvl w:ilvl="0">
      <w:lvlJc w:val="left"/>
      <w:lvlText w:val="7"/>
      <w:numFmt w:val="bullet"/>
      <w:start w:val="1"/>
    </w:lvl>
  </w:abstractNum>
  <w:abstractNum w:abstractNumId="79">
    <w:nsid w:val="7FFFCA11"/>
    <w:multiLevelType w:val="hybridMultilevel"/>
    <w:lvl w:ilvl="0">
      <w:lvlJc w:val="left"/>
      <w:lvlText w:val="8"/>
      <w:numFmt w:val="bullet"/>
      <w:start w:val="1"/>
    </w:lvl>
  </w:abstractNum>
  <w:abstractNum w:abstractNumId="80">
    <w:nsid w:val="1A27709E"/>
    <w:multiLevelType w:val="hybridMultilevel"/>
    <w:lvl w:ilvl="0">
      <w:lvlJc w:val="left"/>
      <w:lvlText w:val="9"/>
      <w:numFmt w:val="bullet"/>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1"/>
      <w:numFmt w:val="decimal"/>
      <w:start w:val="10"/>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2026-05-26T16:54:03Z</dcterms:created>
  <dcterms:modified xsi:type="dcterms:W3CDTF">2026-05-26T16:54:03Z</dcterms:modified>
</cp:coreProperties>
</file>