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26,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3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600" w:type="dxa"/>
            <w:vAlign w:val="bottom"/>
          </w:tcPr>
          <w:p>
            <w:pPr>
              <w:spacing w:after="0"/>
              <w:rPr>
                <w:sz w:val="20"/>
                <w:szCs w:val="20"/>
                <w:color w:val="auto"/>
              </w:rPr>
            </w:pPr>
          </w:p>
        </w:tc>
        <w:tc>
          <w:tcPr>
            <w:tcW w:w="4840" w:type="dxa"/>
            <w:vAlign w:val="bottom"/>
            <w:gridSpan w:val="5"/>
          </w:tcPr>
          <w:p>
            <w:pPr>
              <w:jc w:val="center"/>
              <w:ind w:left="30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NANOBIOTIX Announces Closing of Global Offering</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PARIS and CAMBRIDGE, Mass., May 26, 2026 (GLOBE NEWSWIRE) -- NANOBIOTIX (Euronext: NANO – NASDAQ: NBTX – “</w:t>
      </w:r>
      <w:r>
        <w:rPr>
          <w:rFonts w:ascii="Times New Roman" w:cs="Times New Roman" w:eastAsia="Times New Roman" w:hAnsi="Times New Roman"/>
          <w:sz w:val="22"/>
          <w:szCs w:val="22"/>
          <w:b w:val="1"/>
          <w:bCs w:val="1"/>
          <w:color w:val="auto"/>
        </w:rPr>
        <w:t>Nanobiotix</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late-clinical stage biotechnology company pioneering physics-based approaches to expand treatment possibilities for patients with cancer and other major diseases, announces the closing today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of its global offering (the “</w:t>
      </w:r>
      <w:r>
        <w:rPr>
          <w:rFonts w:ascii="Times New Roman" w:cs="Times New Roman" w:eastAsia="Times New Roman" w:hAnsi="Times New Roman"/>
          <w:sz w:val="22"/>
          <w:szCs w:val="22"/>
          <w:b w:val="1"/>
          <w:bCs w:val="1"/>
          <w:color w:val="auto"/>
        </w:rPr>
        <w:t>Global Offering</w:t>
      </w:r>
      <w:r>
        <w:rPr>
          <w:rFonts w:ascii="Times New Roman" w:cs="Times New Roman" w:eastAsia="Times New Roman" w:hAnsi="Times New Roman"/>
          <w:sz w:val="22"/>
          <w:szCs w:val="22"/>
          <w:color w:val="auto"/>
        </w:rPr>
        <w:t>”), including in respect of the earlier total exercise by the underwriters of their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to purchase additional new ordinary shares in the form of additional American Depositary Shares (the “</w:t>
      </w:r>
      <w:r>
        <w:rPr>
          <w:rFonts w:ascii="Times New Roman" w:cs="Times New Roman" w:eastAsia="Times New Roman" w:hAnsi="Times New Roman"/>
          <w:sz w:val="22"/>
          <w:szCs w:val="22"/>
          <w:b w:val="1"/>
          <w:bCs w:val="1"/>
          <w:color w:val="auto"/>
        </w:rPr>
        <w:t>Additional ADSs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Following the full exercise of the Option, the total number of ordinary shares (each an “</w:t>
      </w:r>
      <w:r>
        <w:rPr>
          <w:rFonts w:ascii="Times New Roman" w:cs="Times New Roman" w:eastAsia="Times New Roman" w:hAnsi="Times New Roman"/>
          <w:sz w:val="22"/>
          <w:szCs w:val="22"/>
          <w:b w:val="1"/>
          <w:bCs w:val="1"/>
          <w:color w:val="auto"/>
        </w:rPr>
        <w:t>Ordinary Share</w:t>
      </w:r>
      <w:r>
        <w:rPr>
          <w:rFonts w:ascii="Times New Roman" w:cs="Times New Roman" w:eastAsia="Times New Roman" w:hAnsi="Times New Roman"/>
          <w:sz w:val="22"/>
          <w:szCs w:val="22"/>
          <w:color w:val="auto"/>
        </w:rPr>
        <w:t>”), of the Company and pre-funded warrants to subscribe for one Ordinary Share each (the “</w:t>
      </w:r>
      <w:r>
        <w:rPr>
          <w:rFonts w:ascii="Times New Roman" w:cs="Times New Roman" w:eastAsia="Times New Roman" w:hAnsi="Times New Roman"/>
          <w:sz w:val="22"/>
          <w:szCs w:val="22"/>
          <w:b w:val="1"/>
          <w:bCs w:val="1"/>
          <w:color w:val="auto"/>
        </w:rPr>
        <w:t>PFW</w:t>
      </w:r>
      <w:r>
        <w:rPr>
          <w:rFonts w:ascii="Times New Roman" w:cs="Times New Roman" w:eastAsia="Times New Roman" w:hAnsi="Times New Roman"/>
          <w:sz w:val="22"/>
          <w:szCs w:val="22"/>
          <w:color w:val="auto"/>
        </w:rPr>
        <w:t>”) issued in the Global Offering amounts to 2,218,467 Ordinary Shares, including 225,373 Ordinary Shares in the form of American Depositary Shares (“</w:t>
      </w:r>
      <w:r>
        <w:rPr>
          <w:rFonts w:ascii="Times New Roman" w:cs="Times New Roman" w:eastAsia="Times New Roman" w:hAnsi="Times New Roman"/>
          <w:sz w:val="22"/>
          <w:szCs w:val="22"/>
          <w:b w:val="1"/>
          <w:bCs w:val="1"/>
          <w:color w:val="auto"/>
        </w:rPr>
        <w:t>ADSs</w:t>
      </w:r>
      <w:r>
        <w:rPr>
          <w:rFonts w:ascii="Times New Roman" w:cs="Times New Roman" w:eastAsia="Times New Roman" w:hAnsi="Times New Roman"/>
          <w:sz w:val="22"/>
          <w:szCs w:val="22"/>
          <w:color w:val="auto"/>
        </w:rPr>
        <w:t>”) and 33,805 Ordinary Shares in the form of Additional ADSs, and 345,099 PFW, resulting in aggregate gross proceeds for the Company of approximately $100 million (corresponding to approximately €86.1 million), before deducting underwriting commissions in respect of the Global Offering and estimated expenses related to the Global Offering.</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subscription price of €33.60 per Ordinary Share, corresponding to the offering price of $38.98 per ADS based on an exchange rate of €1.00 = $1.16 as published by the European Central Bank on May 20, 2026, is equal to the volume weighted average price of the Ordinary Shares on the regulated market of Euronext in Paris over the last three trading sessions preceding the pricing of the Global Offering (i.e. May 18, May 19 and May 20, 2026), less a discount of 14.92% and has been determined</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by the Company pursuant to the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resolution of the Company’s combined shareholders’ meeting held on May 19, 2025. The subscription price of each PFW is equal to the subscription price per Ordinary Share issued in the Global Offering minus their nominal value of €0.03 per Ordinary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intends to use the net proceeds from the Global Offering, including the net proceeds from the sale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ADSs, as follows: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less than 10% to support the development and advancement of JNJ-1900 (NBTXR3);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right="4640"/>
        <w:spacing w:after="0" w:line="386" w:lineRule="auto"/>
        <w:rPr>
          <w:sz w:val="20"/>
          <w:szCs w:val="20"/>
          <w:color w:val="auto"/>
        </w:rPr>
      </w:pPr>
      <w:r>
        <w:rPr>
          <w:rFonts w:ascii="Times New Roman" w:cs="Times New Roman" w:eastAsia="Times New Roman" w:hAnsi="Times New Roman"/>
          <w:sz w:val="22"/>
          <w:szCs w:val="22"/>
          <w:color w:val="auto"/>
        </w:rPr>
        <w:t>between 50-60% to advance our Nanoprimer and other platforms; and between 30-40%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-451485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-211455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expected use of proceeds represents the Company’s intentions based upon its current plans and business conditions. The Company cannot predict with certainty all of the particular uses for the net proceeds to be received upon the completion of Global Offering (including the Additional ADSs) or the amounts that the Company will actually spend on the uses set forth above. The amounts and timing of the Company’s actual expenditures and the extent of clinical development may vary significantly depending on numerous factors, including the progress of the development efforts, the status of and results from preclinical studies and any ongoing clinical trials or clinical trials the Company may commence in the future, as well as any collaborations that the Company may enter into with third parties for its product candidates and any unforeseen cash needs. As a result, the Company’s management will retain broad discretion over the allocation of the net proceeds.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believes that the net proceeds from the Global Offering (including the Additional ADSs), together with its cash and cash equivalents, will be sufficient to meet its working capital requirements for operations into 2029, consistent with the Company’s currently contemplated cash burn 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TD Cowen and Stifel acted as global coordinators and joint bookrunners for the Global Offering.</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Jefferies LLC, acting as the stabilizing agent on its own behalf and on behalf of the other Underwriters, reported that no stabilization activities had been carried out and the stabilization period is now closed.</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ADSs are listed on the Nasdaq Global Select Market under the symbol “NBTX” and the Company’s Ordinary Shares are listed on Euronext Paris under the symbol “NANO”.</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ADSs (including the Additional ADSs) and Ordinary Shares issued in the Global Offering were offered pursuant to an effective shelf registration statement on Form F-3 (Registration No. 333-285604), which was filed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on March 6, 2025 and subsequently declared effective on March 14, 2025. The Global Offering was made only by means of a prospectus and prospectus supplement that form a part of the registration statement. A final prospectus supplement relating to and describing the terms of the Global Offering has been filed with the SEC on May 22, 2026 and is available on the SEC’s website at www.sec.gov. The final prospectus supplement relating to the Global Offering (and accompanying prospectus) relating to the Global Offering may be obtained from Jefferies LLC, Attention: Equity Syndicate Prospectus Department, 520 Madison Avenue, New York, NY 10022, or by telephone at (877) 821-7388 or by email at Prospectus_Department@Jefferies.com; from Stifel, Nicolaus &amp; Company, Incorporated, Attention: Syndicate, One Montgomery Street, Suite 3700, San Francisco, CA 94104, by telephone at (415) 364-2720 or by email at syndprospectus@stifel.com; or from TD Securities (USA) LLC, c/o Broadridge Financial Solutions, 1155 Long Island Avenue, Edgewood, NY 11717, or by email at TDManualrequest@broadridge.com.</w:t>
      </w:r>
    </w:p>
    <w:p>
      <w:pPr>
        <w:sectPr>
          <w:pgSz w:w="11900" w:h="16838" w:orient="portrait"/>
          <w:cols w:equalWidth="0" w:num="1">
            <w:col w:w="11240"/>
          </w:cols>
          <w:pgMar w:left="320" w:top="108" w:right="339" w:bottom="25" w:gutter="0" w:footer="0" w:header="0"/>
        </w:sectPr>
      </w:pPr>
    </w:p>
    <w:bookmarkStart w:id="4" w:name="page5"/>
    <w:bookmarkEnd w:id="4"/>
    <w:p>
      <w:pPr>
        <w:jc w:val="both"/>
        <w:spacing w:after="0"/>
        <w:rPr>
          <w:sz w:val="20"/>
          <w:szCs w:val="20"/>
          <w:color w:val="auto"/>
        </w:rPr>
      </w:pPr>
      <w:r>
        <w:rPr>
          <w:rFonts w:ascii="Times New Roman" w:cs="Times New Roman" w:eastAsia="Times New Roman" w:hAnsi="Times New Roman"/>
          <w:sz w:val="22"/>
          <w:szCs w:val="22"/>
          <w:color w:val="auto"/>
        </w:rPr>
        <w:t>The Global Offering is not subject to the preparation of a prospectus requiring an approval by the French Financial Markets Authority (</w:t>
      </w:r>
      <w:r>
        <w:rPr>
          <w:rFonts w:ascii="Times New Roman" w:cs="Times New Roman" w:eastAsia="Times New Roman" w:hAnsi="Times New Roman"/>
          <w:sz w:val="22"/>
          <w:szCs w:val="22"/>
          <w:i w:val="1"/>
          <w:iCs w:val="1"/>
          <w:color w:val="auto"/>
        </w:rPr>
        <w:t>Autorité des marchés financiers</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22"/>
          <w:szCs w:val="22"/>
          <w:b w:val="1"/>
          <w:bCs w:val="1"/>
          <w:color w:val="auto"/>
        </w:rPr>
        <w:t>AMF</w:t>
      </w:r>
      <w:r>
        <w:rPr>
          <w:rFonts w:ascii="Times New Roman" w:cs="Times New Roman" w:eastAsia="Times New Roman" w:hAnsi="Times New Roman"/>
          <w:sz w:val="22"/>
          <w:szCs w:val="22"/>
          <w:color w:val="auto"/>
        </w:rPr>
        <w:t>”) pursuant to the Regulation (EU) 2017/1129, as amended (the “</w:t>
      </w:r>
      <w:r>
        <w:rPr>
          <w:rFonts w:ascii="Times New Roman" w:cs="Times New Roman" w:eastAsia="Times New Roman" w:hAnsi="Times New Roman"/>
          <w:sz w:val="22"/>
          <w:szCs w:val="22"/>
          <w:b w:val="1"/>
          <w:bCs w:val="1"/>
          <w:color w:val="auto"/>
        </w:rPr>
        <w:t>Prospectus Regulation</w:t>
      </w:r>
      <w:r>
        <w:rPr>
          <w:rFonts w:ascii="Times New Roman" w:cs="Times New Roman" w:eastAsia="Times New Roman" w:hAnsi="Times New Roman"/>
          <w:sz w:val="22"/>
          <w:szCs w:val="22"/>
          <w:color w:val="auto"/>
        </w:rPr>
        <w:t>”), nor to the filing with the AMF of a document containing the information set out in Annex IX of the Prospectus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25 patent families associated with three (3) nanotechnology platforms with applications in 1) oncology; 2) bioavailability and biodistribution; and 3) disorders of the central nervous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i w:val="1"/>
          <w:iCs w:val="1"/>
          <w:color w:val="auto"/>
        </w:rPr>
        <w:t>Nanobiotix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80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080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700" w:type="dxa"/>
            <w:vAlign w:val="bottom"/>
            <w:gridSpan w:val="4"/>
          </w:tcPr>
          <w:p>
            <w:pPr>
              <w:ind w:left="700"/>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7700" w:type="dxa"/>
            <w:vAlign w:val="bottom"/>
            <w:gridSpan w:val="4"/>
          </w:tcPr>
          <w:p>
            <w:pPr>
              <w:ind w:left="70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44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700" w:type="dxa"/>
            <w:vAlign w:val="bottom"/>
            <w:gridSpan w:val="4"/>
          </w:tcPr>
          <w:p>
            <w:pPr>
              <w:ind w:left="700"/>
              <w:spacing w:after="0" w:line="247"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0" w:type="dxa"/>
            <w:vAlign w:val="bottom"/>
          </w:tcPr>
          <w:p>
            <w:pPr>
              <w:spacing w:after="0"/>
              <w:rPr>
                <w:sz w:val="1"/>
                <w:szCs w:val="1"/>
                <w:color w:val="auto"/>
              </w:rPr>
            </w:pPr>
          </w:p>
        </w:tc>
      </w:tr>
      <w:tr>
        <w:trPr>
          <w:trHeight w:val="243"/>
        </w:trPr>
        <w:tc>
          <w:tcPr>
            <w:tcW w:w="2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 (617) 852-4835</w:t>
            </w:r>
          </w:p>
        </w:tc>
        <w:tc>
          <w:tcPr>
            <w:tcW w:w="1200" w:type="dxa"/>
            <w:vAlign w:val="bottom"/>
          </w:tcPr>
          <w:p>
            <w:pPr>
              <w:spacing w:after="0"/>
              <w:rPr>
                <w:sz w:val="21"/>
                <w:szCs w:val="21"/>
                <w:color w:val="auto"/>
              </w:rPr>
            </w:pPr>
          </w:p>
        </w:tc>
        <w:tc>
          <w:tcPr>
            <w:tcW w:w="308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+1 (713) 609-3150</w:t>
            </w:r>
          </w:p>
        </w:tc>
        <w:tc>
          <w:tcPr>
            <w:tcW w:w="22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7700" w:type="dxa"/>
            <w:vAlign w:val="bottom"/>
            <w:gridSpan w:val="4"/>
            <w:vMerge w:val="restart"/>
          </w:tcPr>
          <w:p>
            <w:pPr>
              <w:ind w:left="700"/>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77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700" w:type="dxa"/>
            <w:vAlign w:val="bottom"/>
            <w:gridSpan w:val="4"/>
          </w:tcPr>
          <w:p>
            <w:pPr>
              <w:ind w:left="700"/>
              <w:spacing w:after="0"/>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700" w:type="dxa"/>
            <w:vAlign w:val="bottom"/>
            <w:gridSpan w:val="4"/>
          </w:tcPr>
          <w:p>
            <w:pPr>
              <w:ind w:left="700"/>
              <w:spacing w:after="0"/>
              <w:rPr>
                <w:sz w:val="20"/>
                <w:szCs w:val="20"/>
                <w:color w:val="auto"/>
              </w:rPr>
            </w:pPr>
            <w:r>
              <w:rPr>
                <w:rFonts w:ascii="Times New Roman" w:cs="Times New Roman" w:eastAsia="Times New Roman" w:hAnsi="Times New Roman"/>
                <w:sz w:val="22"/>
                <w:szCs w:val="22"/>
                <w:color w:val="auto"/>
              </w:rPr>
              <w:t>investors@nanobiotix.com</w:t>
            </w: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i w:val="1"/>
                <w:iCs w:val="1"/>
                <w:color w:val="auto"/>
              </w:rPr>
              <w:t>Media Relations</w:t>
            </w:r>
          </w:p>
        </w:tc>
        <w:tc>
          <w:tcPr>
            <w:tcW w:w="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7700" w:type="dxa"/>
            <w:vAlign w:val="bottom"/>
            <w:gridSpan w:val="4"/>
          </w:tcPr>
          <w:p>
            <w:pPr>
              <w:ind w:left="700"/>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 Communications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7700" w:type="dxa"/>
            <w:vAlign w:val="bottom"/>
            <w:gridSpan w:val="4"/>
          </w:tcPr>
          <w:p>
            <w:pPr>
              <w:ind w:left="700"/>
              <w:spacing w:after="0" w:line="243" w:lineRule="exact"/>
              <w:rPr>
                <w:sz w:val="20"/>
                <w:szCs w:val="20"/>
                <w:color w:val="auto"/>
              </w:rPr>
            </w:pPr>
            <w:r>
              <w:rPr>
                <w:rFonts w:ascii="Times New Roman" w:cs="Times New Roman" w:eastAsia="Times New Roman" w:hAnsi="Times New Roman"/>
                <w:sz w:val="22"/>
                <w:szCs w:val="22"/>
                <w:color w:val="auto"/>
              </w:rPr>
              <w:t>Becky Lauer</w:t>
            </w:r>
          </w:p>
        </w:tc>
        <w:tc>
          <w:tcPr>
            <w:tcW w:w="0" w:type="dxa"/>
            <w:vAlign w:val="bottom"/>
          </w:tcPr>
          <w:p>
            <w:pPr>
              <w:spacing w:after="0"/>
              <w:rPr>
                <w:sz w:val="1"/>
                <w:szCs w:val="1"/>
                <w:color w:val="auto"/>
              </w:rPr>
            </w:pPr>
          </w:p>
        </w:tc>
      </w:tr>
      <w:tr>
        <w:trPr>
          <w:trHeight w:val="243"/>
        </w:trPr>
        <w:tc>
          <w:tcPr>
            <w:tcW w:w="2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+ 33 06 70 33 49 50</w:t>
            </w:r>
          </w:p>
        </w:tc>
        <w:tc>
          <w:tcPr>
            <w:tcW w:w="1200" w:type="dxa"/>
            <w:vAlign w:val="bottom"/>
          </w:tcPr>
          <w:p>
            <w:pPr>
              <w:spacing w:after="0"/>
              <w:rPr>
                <w:sz w:val="21"/>
                <w:szCs w:val="21"/>
                <w:color w:val="auto"/>
              </w:rPr>
            </w:pPr>
          </w:p>
        </w:tc>
        <w:tc>
          <w:tcPr>
            <w:tcW w:w="308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22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carolinehardy@outlook.fr</w:t>
            </w:r>
          </w:p>
        </w:tc>
        <w:tc>
          <w:tcPr>
            <w:tcW w:w="7700" w:type="dxa"/>
            <w:vAlign w:val="bottom"/>
            <w:gridSpan w:val="4"/>
          </w:tcPr>
          <w:p>
            <w:pPr>
              <w:ind w:left="700"/>
              <w:spacing w:after="0" w:line="230" w:lineRule="exact"/>
              <w:rPr>
                <w:sz w:val="20"/>
                <w:szCs w:val="20"/>
                <w:color w:val="auto"/>
              </w:rPr>
            </w:pPr>
            <w:r>
              <w:rPr>
                <w:rFonts w:ascii="Times New Roman" w:cs="Times New Roman" w:eastAsia="Times New Roman" w:hAnsi="Times New Roman"/>
                <w:sz w:val="22"/>
                <w:szCs w:val="22"/>
                <w:color w:val="auto"/>
              </w:rPr>
              <w:t>uncappednanobiotix@uncappedcommunications.com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“safe harbor” provisions of the Private Securities Litigation Reform Act of 1995, including, but not limited to, statements regarding the expected closing of the Global Offering,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our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market conditions, statements regarding the expected closing of the Global Offering, the anticipated use of net proceeds therefrom, any announcement of the exercise of the Over-Allotment Option, the period of time through which the Company anticipates its financial resources will be adequate to support its operations, risks related to the satisfaction of closing conditions in the underwriting agreement related to the Global Offering, and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and subsequent filings Nanobiotix makes with the SEC and AMF from time to time,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This press release does not constitute an offer to sell or the solicitation of an offer to buy any securities of the Company, nor shall there be any sale of such securities, in any state or jurisdiction in which such offer, solicitation or sale would be unlawful prior to</w:t>
      </w:r>
    </w:p>
    <w:p>
      <w:pPr>
        <w:sectPr>
          <w:pgSz w:w="11900" w:h="16838" w:orient="portrait"/>
          <w:cols w:equalWidth="0" w:num="1">
            <w:col w:w="11240"/>
          </w:cols>
          <w:pgMar w:left="320" w:top="112"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registration or qualification under the securities laws of any such state or jurisdiction.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distribution of this press release may be subject to legal or regulatory restrictions in certain jurisdictions. Any person who comes into possession of this press release must inform him or herself of and comply with any such restrictions.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document does not constitute an offer to the public in France and the securities referred to in this document can only be offered or sold in France pursuant to article L. 411-2 of the French Monetary and Financial Code to qualified investors (investisseurs qualifiés) acting for their own account as defined in the Prospectus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announcement is an advertisement and not a prospectus within the meaning of the Prospectus Regulation.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International Offering is reserved to “qualified investors”, as that term is defined in Article 2(e) of the Prospectus Regulation.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relation to each member state of the European Economic Area other than France (each, a “</w:t>
      </w:r>
      <w:r>
        <w:rPr>
          <w:rFonts w:ascii="Times New Roman" w:cs="Times New Roman" w:eastAsia="Times New Roman" w:hAnsi="Times New Roman"/>
          <w:sz w:val="21"/>
          <w:szCs w:val="21"/>
          <w:b w:val="1"/>
          <w:bCs w:val="1"/>
          <w:color w:val="auto"/>
        </w:rPr>
        <w:t>Relevant Member State</w:t>
      </w:r>
      <w:r>
        <w:rPr>
          <w:rFonts w:ascii="Times New Roman" w:cs="Times New Roman" w:eastAsia="Times New Roman" w:hAnsi="Times New Roman"/>
          <w:sz w:val="21"/>
          <w:szCs w:val="21"/>
          <w:color w:val="auto"/>
        </w:rPr>
        <w:t>”), an offer of the securities referred to herein is not being made and will not be made to the public in that Relevant Member State, other than</w:t>
      </w:r>
    </w:p>
    <w:p>
      <w:pPr>
        <w:spacing w:after="0" w:line="1" w:lineRule="exact"/>
        <w:rPr>
          <w:sz w:val="20"/>
          <w:szCs w:val="20"/>
          <w:color w:val="auto"/>
        </w:rPr>
      </w:pPr>
    </w:p>
    <w:p>
      <w:pPr>
        <w:jc w:val="both"/>
        <w:ind w:firstLine="8"/>
        <w:spacing w:after="0" w:line="233" w:lineRule="auto"/>
        <w:tabs>
          <w:tab w:leader="none" w:pos="26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legal entity which is a qualified investor as defined in the Prospectus Regulation, (ii) to fewer than 150 natural or legal persons per Relevant Member State, or (iii) in any other circumstances falling within Article 1(4) of the Prospectus Regulation;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offer of the securities referred to herein shall require the Company to publish a prospectus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 3 of the Prospectus Regulation. For the purposes of the above, the expression an “offer to the public” in any Relevant Member State shall have the meaning ascribed to it in article 2(d) of the Prospectus Regulation.</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is being distributed only to, and is directed only at (a) persons outside the United Kingdom, (b) “qualified investors” (as defined in paragraph 15 of Schedule 1 to the Public Offers and Admissions to Trading Regulations 2024 (the “</w:t>
      </w:r>
      <w:r>
        <w:rPr>
          <w:rFonts w:ascii="Times New Roman" w:cs="Times New Roman" w:eastAsia="Times New Roman" w:hAnsi="Times New Roman"/>
          <w:sz w:val="22"/>
          <w:szCs w:val="22"/>
          <w:b w:val="1"/>
          <w:bCs w:val="1"/>
          <w:color w:val="auto"/>
        </w:rPr>
        <w:t>POAT Regulations</w:t>
      </w:r>
      <w:r>
        <w:rPr>
          <w:rFonts w:ascii="Times New Roman" w:cs="Times New Roman" w:eastAsia="Times New Roman" w:hAnsi="Times New Roman"/>
          <w:sz w:val="22"/>
          <w:szCs w:val="22"/>
          <w:color w:val="auto"/>
        </w:rPr>
        <w:t>”))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and (c) high net worth entities, and other persons to whom it may otherwise lawfully be communicated, falling within Article 49(2) of the Order (all such persons together being referred to as “</w:t>
      </w:r>
      <w:r>
        <w:rPr>
          <w:rFonts w:ascii="Times New Roman" w:cs="Times New Roman" w:eastAsia="Times New Roman" w:hAnsi="Times New Roman"/>
          <w:sz w:val="22"/>
          <w:szCs w:val="22"/>
          <w:b w:val="1"/>
          <w:bCs w:val="1"/>
          <w:color w:val="auto"/>
        </w:rPr>
        <w:t>relevant persons</w:t>
      </w:r>
      <w:r>
        <w:rPr>
          <w:rFonts w:ascii="Times New Roman" w:cs="Times New Roman" w:eastAsia="Times New Roman" w:hAnsi="Times New Roman"/>
          <w:sz w:val="22"/>
          <w:szCs w:val="22"/>
          <w:color w:val="auto"/>
        </w:rPr>
        <w:t>”). In the United Kingdom, any offering of securities described herein will be made pursuant to an exemption under the POAT Regulations from the requirement to publish a prospectus. Any investment or investment activity to which this communication relates is available only to relevant persons and will be engaged in only with relevant persons. Any person who is not a relevant person should not act or rely on this communication or any of its contents.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Solely for the purposes of each manufacturer’s product approval process, the target market assessment in respect of the securities offered in the International Offering has led to the conclusion in relation to the type of clients criteria only that: (i) the type of clients to whom the securities are targeted is eligible counterparties and professional clients only, each as defined in Directive 2014/65/EU, as amended (“</w:t>
      </w:r>
      <w:r>
        <w:rPr>
          <w:rFonts w:ascii="Times New Roman" w:cs="Times New Roman" w:eastAsia="Times New Roman" w:hAnsi="Times New Roman"/>
          <w:sz w:val="22"/>
          <w:szCs w:val="22"/>
          <w:b w:val="1"/>
          <w:bCs w:val="1"/>
          <w:color w:val="auto"/>
        </w:rPr>
        <w:t>MiFID II</w:t>
      </w:r>
      <w:r>
        <w:rPr>
          <w:rFonts w:ascii="Times New Roman" w:cs="Times New Roman" w:eastAsia="Times New Roman" w:hAnsi="Times New Roman"/>
          <w:sz w:val="22"/>
          <w:szCs w:val="22"/>
          <w:color w:val="auto"/>
        </w:rPr>
        <w:t>”); and (ii) all channels for distribution of the securities offered in the International Offering to eligible counterparties and professional clients are appropriate. Any person subsequently offering, selling or recommending the securities (a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should take into consideration the manufacturers’ type of clients assessment; however, a distributor subject to MiFID II is responsible for undertaking its own target market assessment in respect of the securities offered in the International Offering (by either adopting or refining the manufacturers’ type of clients assessment) and determining appropriate distribution channels.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press release has been prepared in both French and English. In the event of any discrepancies between the two versions of the press release, the French language version shall prevail.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2026-05-26 -- NBTX -- Closes on Public Offering -- AMF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FIling (https://ml.globenewswire.com/Resource/Download/309d93f2-47a1-4219-a76c-18fecfc1a301)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2026-05-26T16:24:40Z</dcterms:created>
  <dcterms:modified xsi:type="dcterms:W3CDTF">2026-05-26T16:24:40Z</dcterms:modified>
</cp:coreProperties>
</file>