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001-39777</w:t>
      </w:r>
    </w:p>
    <w:p>
      <w:pPr>
        <w:spacing w:after="0" w:line="206"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Nanobiotix S.A.</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60 Rue de Wattignies 75012 Paris, France</w:t>
      </w:r>
    </w:p>
    <w:p>
      <w:pPr>
        <w:spacing w:after="0" w:line="1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8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20"/>
          </w:cols>
          <w:pgMar w:left="320" w:top="543" w:right="559" w:bottom="144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22"/>
          <w:szCs w:val="22"/>
          <w:color w:val="auto"/>
        </w:rPr>
        <w:t>On June 5, 2026, the Registrant issued a press release, a copy of which is attached hereto as Exhibit 99.1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(c) Exhibit 99.1. Press release dated June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760"/>
          </w:cols>
          <w:pgMar w:left="320" w:top="111" w:right="81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Nanobiotix S.A.</w:t>
            </w:r>
          </w:p>
        </w:tc>
        <w:tc>
          <w:tcPr>
            <w:tcW w:w="60" w:type="dxa"/>
            <w:vAlign w:val="bottom"/>
            <w:gridSpan w:val="2"/>
          </w:tcPr>
          <w:p>
            <w:pPr>
              <w:spacing w:after="0"/>
              <w:rPr>
                <w:sz w:val="17"/>
                <w:szCs w:val="17"/>
                <w:color w:val="auto"/>
              </w:rPr>
            </w:pPr>
          </w:p>
        </w:tc>
      </w:tr>
      <w:tr>
        <w:trPr>
          <w:trHeight w:val="237"/>
        </w:trPr>
        <w:tc>
          <w:tcPr>
            <w:tcW w:w="45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3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7"/>
              </w:rPr>
              <w:t>/s/ Bart Van Rhijn</w:t>
            </w:r>
          </w:p>
        </w:tc>
        <w:tc>
          <w:tcPr>
            <w:tcW w:w="20" w:type="dxa"/>
            <w:vAlign w:val="bottom"/>
          </w:tcPr>
          <w:p>
            <w:pPr>
              <w:spacing w:after="0"/>
              <w:rPr>
                <w:sz w:val="24"/>
                <w:szCs w:val="24"/>
                <w:color w:val="auto"/>
              </w:rPr>
            </w:pPr>
          </w:p>
        </w:tc>
      </w:tr>
      <w:tr>
        <w:trPr>
          <w:trHeight w:val="218"/>
        </w:trPr>
        <w:tc>
          <w:tcPr>
            <w:tcW w:w="45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8"/>
              </w:rPr>
              <w:t>Bart Van Rhijn</w:t>
            </w:r>
          </w:p>
        </w:tc>
      </w:tr>
      <w:tr>
        <w:trPr>
          <w:trHeight w:val="234"/>
        </w:trPr>
        <w:tc>
          <w:tcPr>
            <w:tcW w:w="4560" w:type="dxa"/>
            <w:vAlign w:val="bottom"/>
          </w:tcPr>
          <w:p>
            <w:pPr>
              <w:spacing w:after="0"/>
              <w:rPr>
                <w:sz w:val="20"/>
                <w:szCs w:val="20"/>
                <w:color w:val="auto"/>
              </w:rPr>
            </w:pPr>
          </w:p>
        </w:tc>
        <w:tc>
          <w:tcPr>
            <w:tcW w:w="4880" w:type="dxa"/>
            <w:vAlign w:val="bottom"/>
            <w:gridSpan w:val="5"/>
          </w:tcPr>
          <w:p>
            <w:pPr>
              <w:jc w:val="center"/>
              <w:ind w:left="3110"/>
              <w:spacing w:after="0"/>
              <w:rPr>
                <w:sz w:val="20"/>
                <w:szCs w:val="20"/>
                <w:color w:val="auto"/>
              </w:rPr>
            </w:pPr>
            <w:r>
              <w:rPr>
                <w:rFonts w:ascii="Times New Roman" w:cs="Times New Roman" w:eastAsia="Times New Roman" w:hAnsi="Times New Roman"/>
                <w:sz w:val="18"/>
                <w:szCs w:val="18"/>
                <w:color w:val="auto"/>
                <w:w w:val="99"/>
              </w:rPr>
              <w:t>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Voting Rights and Shares Capital of the Company</w:t>
      </w:r>
    </w:p>
    <w:p>
      <w:pPr>
        <w:spacing w:after="0" w:line="223"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In accordance with articles L.233-8 II of the French Commercial Code and 223-16 of the General Regulation of the French Financial Markets Authority (Autorité des Marchés Financiers)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PARIS, June 05, 2026 (GLOBE NEWSWIRE)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Market: Euronext Paris / Nasdaq</w:t>
      </w:r>
    </w:p>
    <w:p>
      <w:pPr>
        <w:spacing w:after="0" w:line="230" w:lineRule="auto"/>
        <w:rPr>
          <w:sz w:val="20"/>
          <w:szCs w:val="20"/>
          <w:color w:val="auto"/>
        </w:rPr>
      </w:pPr>
      <w:r>
        <w:rPr>
          <w:rFonts w:ascii="Times New Roman" w:cs="Times New Roman" w:eastAsia="Times New Roman" w:hAnsi="Times New Roman"/>
          <w:sz w:val="22"/>
          <w:szCs w:val="22"/>
          <w:color w:val="auto"/>
        </w:rPr>
        <w:t>Euronext Compartment: B</w:t>
      </w:r>
    </w:p>
    <w:p>
      <w:pPr>
        <w:spacing w:after="0" w:line="231" w:lineRule="auto"/>
        <w:rPr>
          <w:sz w:val="20"/>
          <w:szCs w:val="20"/>
          <w:color w:val="auto"/>
        </w:rPr>
      </w:pPr>
      <w:r>
        <w:rPr>
          <w:rFonts w:ascii="Times New Roman" w:cs="Times New Roman" w:eastAsia="Times New Roman" w:hAnsi="Times New Roman"/>
          <w:sz w:val="22"/>
          <w:szCs w:val="22"/>
          <w:color w:val="auto"/>
        </w:rPr>
        <w:t>ISIN code: FR0011341205</w:t>
      </w:r>
    </w:p>
    <w:p>
      <w:pPr>
        <w:spacing w:after="0" w:line="230" w:lineRule="auto"/>
        <w:rPr>
          <w:sz w:val="20"/>
          <w:szCs w:val="20"/>
          <w:color w:val="auto"/>
        </w:rPr>
      </w:pPr>
      <w:r>
        <w:rPr>
          <w:rFonts w:ascii="Times New Roman" w:cs="Times New Roman" w:eastAsia="Times New Roman" w:hAnsi="Times New Roman"/>
          <w:sz w:val="22"/>
          <w:szCs w:val="22"/>
          <w:color w:val="auto"/>
        </w:rPr>
        <w:t>Nasdaq: NBTX</w:t>
      </w:r>
    </w:p>
    <w:p>
      <w:pPr>
        <w:spacing w:after="0" w:line="231" w:lineRule="auto"/>
        <w:rPr>
          <w:sz w:val="20"/>
          <w:szCs w:val="20"/>
          <w:color w:val="auto"/>
        </w:rPr>
      </w:pPr>
      <w:r>
        <w:rPr>
          <w:rFonts w:ascii="Times New Roman" w:cs="Times New Roman" w:eastAsia="Times New Roman" w:hAnsi="Times New Roman"/>
          <w:sz w:val="22"/>
          <w:szCs w:val="22"/>
          <w:color w:val="auto"/>
        </w:rPr>
        <w:t>Bloomberg: NANO:FP</w:t>
      </w:r>
    </w:p>
    <w:p>
      <w:pPr>
        <w:spacing w:after="0" w:line="230" w:lineRule="auto"/>
        <w:rPr>
          <w:sz w:val="20"/>
          <w:szCs w:val="20"/>
          <w:color w:val="auto"/>
        </w:rPr>
      </w:pPr>
      <w:r>
        <w:rPr>
          <w:rFonts w:ascii="Times New Roman" w:cs="Times New Roman" w:eastAsia="Times New Roman" w:hAnsi="Times New Roman"/>
          <w:sz w:val="22"/>
          <w:szCs w:val="22"/>
          <w:color w:val="auto"/>
        </w:rPr>
        <w:t>Reuters: NANO.PA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Website: www.nanobiotix.com</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2840" w:type="dxa"/>
            <w:vAlign w:val="bottom"/>
            <w:tcBorders>
              <w:top w:val="single" w:sz="8" w:color="auto"/>
              <w:left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9"/>
              </w:rPr>
              <w:t>Date</w:t>
            </w:r>
          </w:p>
        </w:tc>
        <w:tc>
          <w:tcPr>
            <w:tcW w:w="2800" w:type="dxa"/>
            <w:vAlign w:val="bottom"/>
            <w:tcBorders>
              <w:top w:val="single" w:sz="8" w:color="auto"/>
              <w:right w:val="single" w:sz="8" w:color="auto"/>
            </w:tcBorders>
          </w:tcPr>
          <w:p>
            <w:pPr>
              <w:jc w:val="center"/>
              <w:spacing w:after="0" w:line="239" w:lineRule="exact"/>
              <w:rPr>
                <w:sz w:val="20"/>
                <w:szCs w:val="20"/>
                <w:color w:val="auto"/>
              </w:rPr>
            </w:pPr>
            <w:r>
              <w:rPr>
                <w:rFonts w:ascii="Times New Roman" w:cs="Times New Roman" w:eastAsia="Times New Roman" w:hAnsi="Times New Roman"/>
                <w:sz w:val="22"/>
                <w:szCs w:val="22"/>
                <w:b w:val="1"/>
                <w:bCs w:val="1"/>
                <w:color w:val="auto"/>
                <w:w w:val="98"/>
              </w:rPr>
              <w:t>Number of Shares</w:t>
            </w:r>
          </w:p>
        </w:tc>
        <w:tc>
          <w:tcPr>
            <w:tcW w:w="5600" w:type="dxa"/>
            <w:vAlign w:val="bottom"/>
            <w:tcBorders>
              <w:top w:val="single" w:sz="8" w:color="auto"/>
              <w:right w:val="single" w:sz="8" w:color="auto"/>
            </w:tcBorders>
            <w:gridSpan w:val="2"/>
          </w:tcPr>
          <w:p>
            <w:pPr>
              <w:ind w:left="1440"/>
              <w:spacing w:after="0" w:line="239" w:lineRule="exact"/>
              <w:rPr>
                <w:sz w:val="20"/>
                <w:szCs w:val="20"/>
                <w:color w:val="auto"/>
              </w:rPr>
            </w:pPr>
            <w:r>
              <w:rPr>
                <w:rFonts w:ascii="Times New Roman" w:cs="Times New Roman" w:eastAsia="Times New Roman" w:hAnsi="Times New Roman"/>
                <w:sz w:val="22"/>
                <w:szCs w:val="22"/>
                <w:b w:val="1"/>
                <w:bCs w:val="1"/>
                <w:color w:val="auto"/>
              </w:rPr>
              <w:t>Total number of voting rights</w:t>
            </w:r>
          </w:p>
        </w:tc>
        <w:tc>
          <w:tcPr>
            <w:tcW w:w="0" w:type="dxa"/>
            <w:vAlign w:val="bottom"/>
          </w:tcPr>
          <w:p>
            <w:pPr>
              <w:spacing w:after="0"/>
              <w:rPr>
                <w:sz w:val="1"/>
                <w:szCs w:val="1"/>
                <w:color w:val="auto"/>
              </w:rPr>
            </w:pPr>
          </w:p>
        </w:tc>
      </w:tr>
      <w:tr>
        <w:trPr>
          <w:trHeight w:val="45"/>
        </w:trPr>
        <w:tc>
          <w:tcPr>
            <w:tcW w:w="2840" w:type="dxa"/>
            <w:vAlign w:val="bottom"/>
            <w:tcBorders>
              <w:left w:val="single" w:sz="8" w:color="auto"/>
              <w:right w:val="single" w:sz="8" w:color="auto"/>
            </w:tcBorders>
          </w:tcPr>
          <w:p>
            <w:pPr>
              <w:spacing w:after="0"/>
              <w:rPr>
                <w:sz w:val="3"/>
                <w:szCs w:val="3"/>
                <w:color w:val="auto"/>
              </w:rPr>
            </w:pPr>
          </w:p>
        </w:tc>
        <w:tc>
          <w:tcPr>
            <w:tcW w:w="2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2820" w:type="dxa"/>
            <w:vAlign w:val="bottom"/>
            <w:tcBorders>
              <w:bottom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vMerge w:val="continue"/>
          </w:tcPr>
          <w:p>
            <w:pPr>
              <w:spacing w:after="0"/>
              <w:rPr>
                <w:sz w:val="19"/>
                <w:szCs w:val="19"/>
                <w:color w:val="auto"/>
              </w:rPr>
            </w:pPr>
          </w:p>
        </w:tc>
        <w:tc>
          <w:tcPr>
            <w:tcW w:w="2820" w:type="dxa"/>
            <w:vAlign w:val="bottom"/>
            <w:tcBorders>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2"/>
                <w:szCs w:val="22"/>
                <w:b w:val="1"/>
                <w:bCs w:val="1"/>
                <w:color w:val="auto"/>
                <w:w w:val="96"/>
              </w:rPr>
              <w:t>Total voting rights,</w:t>
            </w:r>
          </w:p>
        </w:tc>
        <w:tc>
          <w:tcPr>
            <w:tcW w:w="2780" w:type="dxa"/>
            <w:vAlign w:val="bottom"/>
            <w:tcBorders>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2"/>
                <w:szCs w:val="22"/>
                <w:b w:val="1"/>
                <w:bCs w:val="1"/>
                <w:color w:val="auto"/>
                <w:w w:val="97"/>
              </w:rPr>
              <w:t>Total voting rights,</w:t>
            </w:r>
          </w:p>
        </w:tc>
        <w:tc>
          <w:tcPr>
            <w:tcW w:w="0" w:type="dxa"/>
            <w:vAlign w:val="bottom"/>
          </w:tcPr>
          <w:p>
            <w:pPr>
              <w:spacing w:after="0"/>
              <w:rPr>
                <w:sz w:val="1"/>
                <w:szCs w:val="1"/>
                <w:color w:val="auto"/>
              </w:rPr>
            </w:pPr>
          </w:p>
        </w:tc>
      </w:tr>
      <w:tr>
        <w:trPr>
          <w:trHeight w:val="333"/>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820" w:type="dxa"/>
            <w:vAlign w:val="bottom"/>
            <w:tcBorders>
              <w:bottom w:val="single" w:sz="8" w:color="auto"/>
              <w:right w:val="single" w:sz="8" w:color="auto"/>
            </w:tcBorders>
          </w:tcPr>
          <w:p>
            <w:pPr>
              <w:jc w:val="center"/>
              <w:spacing w:after="0" w:line="333" w:lineRule="exact"/>
              <w:rPr>
                <w:sz w:val="20"/>
                <w:szCs w:val="20"/>
                <w:color w:val="auto"/>
              </w:rPr>
            </w:pPr>
            <w:r>
              <w:rPr>
                <w:rFonts w:ascii="Times New Roman" w:cs="Times New Roman" w:eastAsia="Times New Roman" w:hAnsi="Times New Roman"/>
                <w:sz w:val="22"/>
                <w:szCs w:val="22"/>
                <w:b w:val="1"/>
                <w:bCs w:val="1"/>
                <w:color w:val="auto"/>
                <w:w w:val="94"/>
              </w:rPr>
              <w:t>theoretical</w:t>
            </w:r>
            <w:r>
              <w:rPr>
                <w:rFonts w:ascii="Times New Roman" w:cs="Times New Roman" w:eastAsia="Times New Roman" w:hAnsi="Times New Roman"/>
                <w:sz w:val="35"/>
                <w:szCs w:val="35"/>
                <w:b w:val="1"/>
                <w:bCs w:val="1"/>
                <w:color w:val="auto"/>
                <w:w w:val="94"/>
                <w:vertAlign w:val="superscript"/>
              </w:rPr>
              <w:t>1</w:t>
            </w:r>
          </w:p>
        </w:tc>
        <w:tc>
          <w:tcPr>
            <w:tcW w:w="2780" w:type="dxa"/>
            <w:vAlign w:val="bottom"/>
            <w:tcBorders>
              <w:bottom w:val="single" w:sz="8" w:color="auto"/>
              <w:right w:val="single" w:sz="8" w:color="auto"/>
            </w:tcBorders>
          </w:tcPr>
          <w:p>
            <w:pPr>
              <w:jc w:val="center"/>
              <w:spacing w:after="0" w:line="333" w:lineRule="exact"/>
              <w:rPr>
                <w:sz w:val="20"/>
                <w:szCs w:val="20"/>
                <w:color w:val="auto"/>
              </w:rPr>
            </w:pPr>
            <w:r>
              <w:rPr>
                <w:rFonts w:ascii="Times New Roman" w:cs="Times New Roman" w:eastAsia="Times New Roman" w:hAnsi="Times New Roman"/>
                <w:sz w:val="22"/>
                <w:szCs w:val="22"/>
                <w:b w:val="1"/>
                <w:bCs w:val="1"/>
                <w:color w:val="auto"/>
                <w:w w:val="95"/>
              </w:rPr>
              <w:t>exercisable</w:t>
            </w:r>
            <w:r>
              <w:rPr>
                <w:rFonts w:ascii="Times New Roman" w:cs="Times New Roman" w:eastAsia="Times New Roman" w:hAnsi="Times New Roman"/>
                <w:sz w:val="35"/>
                <w:szCs w:val="35"/>
                <w:b w:val="1"/>
                <w:bCs w:val="1"/>
                <w:color w:val="auto"/>
                <w:w w:val="95"/>
                <w:vertAlign w:val="superscript"/>
              </w:rPr>
              <w:t>2</w:t>
            </w:r>
          </w:p>
        </w:tc>
        <w:tc>
          <w:tcPr>
            <w:tcW w:w="0" w:type="dxa"/>
            <w:vAlign w:val="bottom"/>
          </w:tcPr>
          <w:p>
            <w:pPr>
              <w:spacing w:after="0"/>
              <w:rPr>
                <w:sz w:val="1"/>
                <w:szCs w:val="1"/>
                <w:color w:val="auto"/>
              </w:rPr>
            </w:pPr>
          </w:p>
        </w:tc>
      </w:tr>
      <w:tr>
        <w:trPr>
          <w:trHeight w:val="264"/>
        </w:trPr>
        <w:tc>
          <w:tcPr>
            <w:tcW w:w="2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May 31, 2026</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50,807,903</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54,304,858</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54,282,740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NANOBIOTIX</w:t>
      </w:r>
    </w:p>
    <w:p>
      <w:pPr>
        <w:spacing w:after="0" w:line="2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spacing w:after="0" w:line="180"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22"/>
          <w:szCs w:val="22"/>
          <w:color w:val="auto"/>
        </w:rPr>
        <w:t>Incorporated in 2003, Nanobiotix is headquartered in Paris, France and is listed on Euronext Paris since 2012 and on the Nasdaq Global Select Market in New York City since December 2020. The Company has a subsidiary in Cambridge, Massachusetts (United States).</w:t>
      </w:r>
    </w:p>
    <w:p>
      <w:pPr>
        <w:spacing w:after="0" w:line="1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Nanobiotix is the owner of more than 30 patent families associated with three (3) nanotechnology platforms with applications in 1) oncology; 2) bioavailability and biodistribution; and 3) disorders of the central nervous system.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more information about Nanobiotix, visit us at www.nanobiotix.com or follow us on LinkedIn and Twitter.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40" w:lineRule="exact"/>
        <w:rPr>
          <w:sz w:val="20"/>
          <w:szCs w:val="20"/>
          <w:color w:val="auto"/>
        </w:rPr>
      </w:pPr>
    </w:p>
    <w:p>
      <w:pPr>
        <w:jc w:val="both"/>
        <w:ind w:firstLine="8"/>
        <w:spacing w:after="0" w:line="201" w:lineRule="auto"/>
        <w:tabs>
          <w:tab w:leader="none" w:pos="198"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i w:val="1"/>
          <w:iCs w:val="1"/>
          <w:color w:val="auto"/>
        </w:rPr>
        <w:t>The total number of theoretical (or “gross”) voting rights is used as the basis for calculating threshold crossings. In accordance with Article 223-11 of the AMF General Regulations, this number is calculated on the basis of all shares to which voting rights are attached, including those for which voting rights have been suspended.</w:t>
      </w:r>
    </w:p>
    <w:p>
      <w:pPr>
        <w:spacing w:after="0" w:line="229" w:lineRule="exact"/>
        <w:rPr>
          <w:sz w:val="20"/>
          <w:szCs w:val="20"/>
          <w:color w:val="auto"/>
        </w:rPr>
      </w:pPr>
    </w:p>
    <w:p>
      <w:pPr>
        <w:jc w:val="both"/>
        <w:ind w:right="240" w:firstLine="8"/>
        <w:spacing w:after="0" w:line="201" w:lineRule="auto"/>
        <w:tabs>
          <w:tab w:leader="none" w:pos="144"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i w:val="1"/>
          <w:iCs w:val="1"/>
          <w:color w:val="auto"/>
        </w:rPr>
        <w:t>The total number of exercisable at a shareholders’ meeting (or “net”) voting rights is calculated without taking into account shares for which voting rights have been suspended as shares held in treasury by the Company. It is released in order to ensure that the public is properly informed.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20" w:type="dxa"/>
            <w:vAlign w:val="bottom"/>
            <w:tcBorders>
              <w:top w:val="single" w:sz="8" w:color="auto"/>
              <w:bottom w:val="single" w:sz="8" w:color="auto"/>
            </w:tcBorders>
          </w:tcPr>
          <w:p>
            <w:pPr>
              <w:spacing w:after="0"/>
              <w:rPr>
                <w:sz w:val="24"/>
                <w:szCs w:val="24"/>
                <w:color w:val="auto"/>
              </w:rPr>
            </w:pPr>
          </w:p>
        </w:tc>
        <w:tc>
          <w:tcPr>
            <w:tcW w:w="218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auto"/>
              <w:bottom w:val="single" w:sz="8" w:color="auto"/>
            </w:tcBorders>
          </w:tcPr>
          <w:p>
            <w:pPr>
              <w:spacing w:after="0"/>
              <w:rPr>
                <w:sz w:val="24"/>
                <w:szCs w:val="24"/>
                <w:color w:val="auto"/>
              </w:rPr>
            </w:pPr>
          </w:p>
        </w:tc>
        <w:tc>
          <w:tcPr>
            <w:tcW w:w="7400" w:type="dxa"/>
            <w:vAlign w:val="bottom"/>
            <w:tcBorders>
              <w:top w:val="single" w:sz="8" w:color="auto"/>
              <w:bottom w:val="single" w:sz="8" w:color="auto"/>
            </w:tcBorders>
            <w:gridSpan w:val="3"/>
          </w:tcPr>
          <w:p>
            <w:pPr>
              <w:ind w:left="1300"/>
              <w:spacing w:after="0"/>
              <w:rPr>
                <w:sz w:val="20"/>
                <w:szCs w:val="20"/>
                <w:color w:val="auto"/>
              </w:rPr>
            </w:pPr>
            <w:r>
              <w:rPr>
                <w:rFonts w:ascii="Times New Roman" w:cs="Times New Roman" w:eastAsia="Times New Roman" w:hAnsi="Times New Roman"/>
                <w:sz w:val="22"/>
                <w:szCs w:val="22"/>
                <w:i w:val="1"/>
                <w:iCs w:val="1"/>
                <w:color w:val="auto"/>
              </w:rPr>
              <w:t>Nanobiotix</w:t>
            </w:r>
          </w:p>
        </w:tc>
        <w:tc>
          <w:tcPr>
            <w:tcW w:w="0" w:type="dxa"/>
            <w:vAlign w:val="bottom"/>
          </w:tcPr>
          <w:p>
            <w:pPr>
              <w:spacing w:after="0"/>
              <w:rPr>
                <w:sz w:val="1"/>
                <w:szCs w:val="1"/>
                <w:color w:val="auto"/>
              </w:rPr>
            </w:pPr>
          </w:p>
        </w:tc>
      </w:tr>
      <w:tr>
        <w:trPr>
          <w:trHeight w:val="46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22"/>
                <w:szCs w:val="22"/>
                <w:b w:val="1"/>
                <w:bCs w:val="1"/>
                <w:color w:val="auto"/>
              </w:rPr>
              <w:t>Investor Relations Department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400" w:type="dxa"/>
            <w:vAlign w:val="bottom"/>
            <w:gridSpan w:val="3"/>
          </w:tcPr>
          <w:p>
            <w:pPr>
              <w:ind w:left="1800"/>
              <w:spacing w:after="0" w:line="243" w:lineRule="exact"/>
              <w:rPr>
                <w:sz w:val="20"/>
                <w:szCs w:val="20"/>
                <w:color w:val="auto"/>
              </w:rPr>
            </w:pPr>
            <w:r>
              <w:rPr>
                <w:rFonts w:ascii="Times New Roman" w:cs="Times New Roman" w:eastAsia="Times New Roman" w:hAnsi="Times New Roman"/>
                <w:sz w:val="22"/>
                <w:szCs w:val="22"/>
                <w:i w:val="1"/>
                <w:iCs w:val="1"/>
                <w:color w:val="auto"/>
              </w:rPr>
              <w:t>Joanne Choi</w:t>
            </w:r>
          </w:p>
        </w:tc>
        <w:tc>
          <w:tcPr>
            <w:tcW w:w="0" w:type="dxa"/>
            <w:vAlign w:val="bottom"/>
          </w:tcPr>
          <w:p>
            <w:pPr>
              <w:spacing w:after="0"/>
              <w:rPr>
                <w:sz w:val="1"/>
                <w:szCs w:val="1"/>
                <w:color w:val="auto"/>
              </w:rPr>
            </w:pPr>
          </w:p>
        </w:tc>
      </w:tr>
      <w:tr>
        <w:trPr>
          <w:trHeight w:val="243"/>
        </w:trPr>
        <w:tc>
          <w:tcPr>
            <w:tcW w:w="38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b w:val="1"/>
                <w:bCs w:val="1"/>
                <w:color w:val="auto"/>
              </w:rPr>
              <w:t>Communications Department</w:t>
            </w:r>
          </w:p>
        </w:tc>
        <w:tc>
          <w:tcPr>
            <w:tcW w:w="7400" w:type="dxa"/>
            <w:vAlign w:val="bottom"/>
            <w:gridSpan w:val="3"/>
          </w:tcPr>
          <w:p>
            <w:pPr>
              <w:ind w:left="1800"/>
              <w:spacing w:after="0" w:line="243" w:lineRule="exact"/>
              <w:rPr>
                <w:sz w:val="20"/>
                <w:szCs w:val="20"/>
                <w:color w:val="auto"/>
              </w:rPr>
            </w:pPr>
            <w:r>
              <w:rPr>
                <w:rFonts w:ascii="Times New Roman" w:cs="Times New Roman" w:eastAsia="Times New Roman" w:hAnsi="Times New Roman"/>
                <w:sz w:val="22"/>
                <w:szCs w:val="22"/>
                <w:i w:val="1"/>
                <w:iCs w:val="1"/>
                <w:color w:val="auto"/>
              </w:rPr>
              <w:t>VP, Investor Relations (US)</w:t>
            </w:r>
          </w:p>
        </w:tc>
        <w:tc>
          <w:tcPr>
            <w:tcW w:w="0" w:type="dxa"/>
            <w:vAlign w:val="bottom"/>
          </w:tcPr>
          <w:p>
            <w:pPr>
              <w:spacing w:after="0"/>
              <w:rPr>
                <w:sz w:val="1"/>
                <w:szCs w:val="1"/>
                <w:color w:val="auto"/>
              </w:rPr>
            </w:pPr>
          </w:p>
        </w:tc>
      </w:tr>
      <w:tr>
        <w:trPr>
          <w:trHeight w:val="243"/>
        </w:trPr>
        <w:tc>
          <w:tcPr>
            <w:tcW w:w="38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i w:val="1"/>
                <w:iCs w:val="1"/>
                <w:color w:val="auto"/>
              </w:rPr>
              <w:t>Brandon Owens</w:t>
            </w:r>
          </w:p>
        </w:tc>
        <w:tc>
          <w:tcPr>
            <w:tcW w:w="4120" w:type="dxa"/>
            <w:vAlign w:val="bottom"/>
            <w:gridSpan w:val="2"/>
          </w:tcPr>
          <w:p>
            <w:pPr>
              <w:ind w:left="1800"/>
              <w:spacing w:after="0" w:line="243" w:lineRule="exact"/>
              <w:rPr>
                <w:sz w:val="20"/>
                <w:szCs w:val="20"/>
                <w:color w:val="auto"/>
              </w:rPr>
            </w:pPr>
            <w:r>
              <w:rPr>
                <w:rFonts w:ascii="Times New Roman" w:cs="Times New Roman" w:eastAsia="Times New Roman" w:hAnsi="Times New Roman"/>
                <w:sz w:val="22"/>
                <w:szCs w:val="22"/>
                <w:i w:val="1"/>
                <w:iCs w:val="1"/>
                <w:color w:val="auto"/>
              </w:rPr>
              <w:t>+1 (713) 609-3150</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840" w:type="dxa"/>
            <w:vAlign w:val="bottom"/>
            <w:gridSpan w:val="3"/>
          </w:tcPr>
          <w:p>
            <w:pPr>
              <w:ind w:left="20"/>
              <w:spacing w:after="0" w:line="247" w:lineRule="exact"/>
              <w:rPr>
                <w:sz w:val="20"/>
                <w:szCs w:val="20"/>
                <w:color w:val="auto"/>
              </w:rPr>
            </w:pPr>
            <w:r>
              <w:rPr>
                <w:rFonts w:ascii="Times New Roman" w:cs="Times New Roman" w:eastAsia="Times New Roman" w:hAnsi="Times New Roman"/>
                <w:sz w:val="22"/>
                <w:szCs w:val="22"/>
                <w:i w:val="1"/>
                <w:iCs w:val="1"/>
                <w:color w:val="auto"/>
              </w:rPr>
              <w:t>VP, Communications</w:t>
            </w:r>
          </w:p>
        </w:tc>
        <w:tc>
          <w:tcPr>
            <w:tcW w:w="7400" w:type="dxa"/>
            <w:vAlign w:val="bottom"/>
            <w:gridSpan w:val="3"/>
            <w:vMerge w:val="restart"/>
          </w:tcPr>
          <w:p>
            <w:pPr>
              <w:ind w:left="1800"/>
              <w:spacing w:after="0"/>
              <w:rPr>
                <w:sz w:val="20"/>
                <w:szCs w:val="20"/>
                <w:color w:val="auto"/>
              </w:rPr>
            </w:pPr>
            <w:r>
              <w:rPr>
                <w:rFonts w:ascii="Times New Roman" w:cs="Times New Roman" w:eastAsia="Times New Roman" w:hAnsi="Times New Roman"/>
                <w:sz w:val="22"/>
                <w:szCs w:val="22"/>
                <w:i w:val="1"/>
                <w:iCs w:val="1"/>
                <w:color w:val="auto"/>
              </w:rPr>
              <w:t>Ricky Bhajun</w:t>
            </w:r>
          </w:p>
        </w:tc>
        <w:tc>
          <w:tcPr>
            <w:tcW w:w="0" w:type="dxa"/>
            <w:vAlign w:val="bottom"/>
          </w:tcPr>
          <w:p>
            <w:pPr>
              <w:spacing w:after="0"/>
              <w:rPr>
                <w:sz w:val="1"/>
                <w:szCs w:val="1"/>
                <w:color w:val="auto"/>
              </w:rPr>
            </w:pPr>
          </w:p>
        </w:tc>
      </w:tr>
      <w:tr>
        <w:trPr>
          <w:trHeight w:val="239"/>
        </w:trPr>
        <w:tc>
          <w:tcPr>
            <w:tcW w:w="2200" w:type="dxa"/>
            <w:vAlign w:val="bottom"/>
            <w:gridSpan w:val="2"/>
          </w:tcPr>
          <w:p>
            <w:pPr>
              <w:ind w:left="20"/>
              <w:spacing w:after="0" w:line="239" w:lineRule="exact"/>
              <w:rPr>
                <w:sz w:val="20"/>
                <w:szCs w:val="20"/>
                <w:color w:val="auto"/>
              </w:rPr>
            </w:pPr>
            <w:r>
              <w:rPr>
                <w:rFonts w:ascii="Times New Roman" w:cs="Times New Roman" w:eastAsia="Times New Roman" w:hAnsi="Times New Roman"/>
                <w:sz w:val="22"/>
                <w:szCs w:val="22"/>
                <w:color w:val="auto"/>
              </w:rPr>
              <w:t>+1 (617) 852-4835</w:t>
            </w:r>
          </w:p>
        </w:tc>
        <w:tc>
          <w:tcPr>
            <w:tcW w:w="1640" w:type="dxa"/>
            <w:vAlign w:val="bottom"/>
          </w:tcPr>
          <w:p>
            <w:pPr>
              <w:spacing w:after="0"/>
              <w:rPr>
                <w:sz w:val="20"/>
                <w:szCs w:val="20"/>
                <w:color w:val="auto"/>
              </w:rPr>
            </w:pPr>
          </w:p>
        </w:tc>
        <w:tc>
          <w:tcPr>
            <w:tcW w:w="7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840" w:type="dxa"/>
            <w:vAlign w:val="bottom"/>
            <w:gridSpan w:val="3"/>
          </w:tcPr>
          <w:p>
            <w:pPr>
              <w:ind w:left="20"/>
              <w:spacing w:after="0" w:line="233" w:lineRule="exact"/>
              <w:rPr>
                <w:sz w:val="20"/>
                <w:szCs w:val="20"/>
                <w:color w:val="auto"/>
              </w:rPr>
            </w:pPr>
            <w:r>
              <w:rPr>
                <w:rFonts w:ascii="Times New Roman" w:cs="Times New Roman" w:eastAsia="Times New Roman" w:hAnsi="Times New Roman"/>
                <w:sz w:val="22"/>
                <w:szCs w:val="22"/>
                <w:color w:val="auto"/>
              </w:rPr>
              <w:t>contact@nanobiotix.com</w:t>
            </w:r>
          </w:p>
        </w:tc>
        <w:tc>
          <w:tcPr>
            <w:tcW w:w="7400" w:type="dxa"/>
            <w:vAlign w:val="bottom"/>
            <w:gridSpan w:val="3"/>
          </w:tcPr>
          <w:p>
            <w:pPr>
              <w:ind w:left="1800"/>
              <w:spacing w:after="0" w:line="233" w:lineRule="exact"/>
              <w:rPr>
                <w:sz w:val="20"/>
                <w:szCs w:val="20"/>
                <w:color w:val="auto"/>
              </w:rPr>
            </w:pPr>
            <w:r>
              <w:rPr>
                <w:rFonts w:ascii="Times New Roman" w:cs="Times New Roman" w:eastAsia="Times New Roman" w:hAnsi="Times New Roman"/>
                <w:sz w:val="22"/>
                <w:szCs w:val="22"/>
                <w:i w:val="1"/>
                <w:iCs w:val="1"/>
                <w:color w:val="auto"/>
              </w:rPr>
              <w:t>Director, Investor Relations (EU)</w:t>
            </w: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investors@nanobiotix.com</w:t>
            </w:r>
          </w:p>
        </w:tc>
        <w:tc>
          <w:tcPr>
            <w:tcW w:w="0" w:type="dxa"/>
            <w:vAlign w:val="bottom"/>
          </w:tcPr>
          <w:p>
            <w:pPr>
              <w:spacing w:after="0"/>
              <w:rPr>
                <w:sz w:val="1"/>
                <w:szCs w:val="1"/>
                <w:color w:val="auto"/>
              </w:rPr>
            </w:pPr>
          </w:p>
        </w:tc>
      </w:tr>
      <w:tr>
        <w:trPr>
          <w:trHeight w:val="277"/>
        </w:trPr>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320" w:type="dxa"/>
            <w:vAlign w:val="bottom"/>
            <w:tcBorders>
              <w:top w:val="single" w:sz="8" w:color="auto"/>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74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22"/>
                <w:szCs w:val="22"/>
                <w:i w:val="1"/>
                <w:iCs w:val="1"/>
                <w:color w:val="auto"/>
              </w:rPr>
              <w:t>Media Relations</w:t>
            </w:r>
          </w:p>
        </w:tc>
        <w:tc>
          <w:tcPr>
            <w:tcW w:w="0" w:type="dxa"/>
            <w:vAlign w:val="bottom"/>
          </w:tcPr>
          <w:p>
            <w:pPr>
              <w:spacing w:after="0"/>
              <w:rPr>
                <w:sz w:val="1"/>
                <w:szCs w:val="1"/>
                <w:color w:val="auto"/>
              </w:rPr>
            </w:pPr>
          </w:p>
        </w:tc>
      </w:tr>
      <w:tr>
        <w:trPr>
          <w:trHeight w:val="223"/>
        </w:trPr>
        <w:tc>
          <w:tcPr>
            <w:tcW w:w="3840" w:type="dxa"/>
            <w:vAlign w:val="bottom"/>
            <w:gridSpan w:val="3"/>
            <w:vMerge w:val="restart"/>
          </w:tcPr>
          <w:p>
            <w:pPr>
              <w:ind w:left="20"/>
              <w:spacing w:after="0"/>
              <w:rPr>
                <w:sz w:val="20"/>
                <w:szCs w:val="20"/>
                <w:color w:val="auto"/>
              </w:rPr>
            </w:pPr>
            <w:r>
              <w:rPr>
                <w:rFonts w:ascii="Times New Roman" w:cs="Times New Roman" w:eastAsia="Times New Roman" w:hAnsi="Times New Roman"/>
                <w:sz w:val="22"/>
                <w:szCs w:val="22"/>
                <w:color w:val="auto"/>
              </w:rPr>
              <w:t xml:space="preserve">France – </w:t>
            </w:r>
            <w:r>
              <w:rPr>
                <w:rFonts w:ascii="Times New Roman" w:cs="Times New Roman" w:eastAsia="Times New Roman" w:hAnsi="Times New Roman"/>
                <w:sz w:val="22"/>
                <w:szCs w:val="22"/>
                <w:b w:val="1"/>
                <w:bCs w:val="1"/>
                <w:color w:val="auto"/>
              </w:rPr>
              <w:t>HARDY</w:t>
            </w:r>
          </w:p>
        </w:tc>
        <w:tc>
          <w:tcPr>
            <w:tcW w:w="7400" w:type="dxa"/>
            <w:vAlign w:val="bottom"/>
            <w:gridSpan w:val="3"/>
          </w:tcPr>
          <w:p>
            <w:pPr>
              <w:ind w:left="1800"/>
              <w:spacing w:after="0" w:line="223" w:lineRule="exact"/>
              <w:rPr>
                <w:sz w:val="20"/>
                <w:szCs w:val="20"/>
                <w:color w:val="auto"/>
              </w:rPr>
            </w:pPr>
            <w:r>
              <w:rPr>
                <w:rFonts w:ascii="Times New Roman" w:cs="Times New Roman" w:eastAsia="Times New Roman" w:hAnsi="Times New Roman"/>
                <w:sz w:val="22"/>
                <w:szCs w:val="22"/>
                <w:color w:val="auto"/>
              </w:rPr>
              <w:t xml:space="preserve">Global – </w:t>
            </w:r>
            <w:r>
              <w:rPr>
                <w:rFonts w:ascii="Times New Roman" w:cs="Times New Roman" w:eastAsia="Times New Roman" w:hAnsi="Times New Roman"/>
                <w:sz w:val="22"/>
                <w:szCs w:val="22"/>
                <w:b w:val="1"/>
                <w:bCs w:val="1"/>
                <w:color w:val="auto"/>
              </w:rPr>
              <w:t>uncapped</w:t>
            </w:r>
          </w:p>
        </w:tc>
        <w:tc>
          <w:tcPr>
            <w:tcW w:w="0" w:type="dxa"/>
            <w:vAlign w:val="bottom"/>
          </w:tcPr>
          <w:p>
            <w:pPr>
              <w:spacing w:after="0"/>
              <w:rPr>
                <w:sz w:val="1"/>
                <w:szCs w:val="1"/>
                <w:color w:val="auto"/>
              </w:rPr>
            </w:pPr>
          </w:p>
        </w:tc>
      </w:tr>
      <w:tr>
        <w:trPr>
          <w:trHeight w:val="243"/>
        </w:trPr>
        <w:tc>
          <w:tcPr>
            <w:tcW w:w="3840" w:type="dxa"/>
            <w:vAlign w:val="bottom"/>
            <w:gridSpan w:val="3"/>
            <w:vMerge w:val="continue"/>
          </w:tcPr>
          <w:p>
            <w:pPr>
              <w:spacing w:after="0"/>
              <w:rPr>
                <w:sz w:val="21"/>
                <w:szCs w:val="21"/>
                <w:color w:val="auto"/>
              </w:rPr>
            </w:pPr>
          </w:p>
        </w:tc>
        <w:tc>
          <w:tcPr>
            <w:tcW w:w="7400" w:type="dxa"/>
            <w:vAlign w:val="bottom"/>
            <w:gridSpan w:val="3"/>
          </w:tcPr>
          <w:p>
            <w:pPr>
              <w:ind w:left="1800"/>
              <w:spacing w:after="0" w:line="243" w:lineRule="exact"/>
              <w:rPr>
                <w:sz w:val="20"/>
                <w:szCs w:val="20"/>
                <w:color w:val="auto"/>
              </w:rPr>
            </w:pPr>
            <w:r>
              <w:rPr>
                <w:rFonts w:ascii="Times New Roman" w:cs="Times New Roman" w:eastAsia="Times New Roman" w:hAnsi="Times New Roman"/>
                <w:sz w:val="22"/>
                <w:szCs w:val="22"/>
                <w:color w:val="auto"/>
              </w:rPr>
              <w:t>Becky Lauer</w:t>
            </w:r>
          </w:p>
        </w:tc>
        <w:tc>
          <w:tcPr>
            <w:tcW w:w="0" w:type="dxa"/>
            <w:vAlign w:val="bottom"/>
          </w:tcPr>
          <w:p>
            <w:pPr>
              <w:spacing w:after="0"/>
              <w:rPr>
                <w:sz w:val="1"/>
                <w:szCs w:val="1"/>
                <w:color w:val="auto"/>
              </w:rPr>
            </w:pPr>
          </w:p>
        </w:tc>
      </w:tr>
      <w:tr>
        <w:trPr>
          <w:trHeight w:val="243"/>
        </w:trPr>
        <w:tc>
          <w:tcPr>
            <w:tcW w:w="384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Caroline Hardy</w:t>
            </w:r>
          </w:p>
        </w:tc>
        <w:tc>
          <w:tcPr>
            <w:tcW w:w="4120" w:type="dxa"/>
            <w:vAlign w:val="bottom"/>
            <w:gridSpan w:val="2"/>
          </w:tcPr>
          <w:p>
            <w:pPr>
              <w:ind w:left="1800"/>
              <w:spacing w:after="0" w:line="243" w:lineRule="exact"/>
              <w:rPr>
                <w:sz w:val="20"/>
                <w:szCs w:val="20"/>
                <w:color w:val="auto"/>
              </w:rPr>
            </w:pPr>
            <w:r>
              <w:rPr>
                <w:rFonts w:ascii="Times New Roman" w:cs="Times New Roman" w:eastAsia="Times New Roman" w:hAnsi="Times New Roman"/>
                <w:sz w:val="22"/>
                <w:szCs w:val="22"/>
                <w:color w:val="auto"/>
              </w:rPr>
              <w:t>+1 (646) 286-0057</w:t>
            </w:r>
          </w:p>
        </w:tc>
        <w:tc>
          <w:tcPr>
            <w:tcW w:w="3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+33 06 70 33 49 50</w:t>
            </w:r>
          </w:p>
        </w:tc>
        <w:tc>
          <w:tcPr>
            <w:tcW w:w="1640" w:type="dxa"/>
            <w:vAlign w:val="bottom"/>
          </w:tcPr>
          <w:p>
            <w:pPr>
              <w:spacing w:after="0"/>
              <w:rPr>
                <w:sz w:val="24"/>
                <w:szCs w:val="24"/>
                <w:color w:val="auto"/>
              </w:rPr>
            </w:pPr>
          </w:p>
        </w:tc>
        <w:tc>
          <w:tcPr>
            <w:tcW w:w="7400" w:type="dxa"/>
            <w:vAlign w:val="bottom"/>
            <w:gridSpan w:val="3"/>
          </w:tcPr>
          <w:p>
            <w:pPr>
              <w:ind w:left="1800"/>
              <w:spacing w:after="0"/>
              <w:rPr>
                <w:sz w:val="20"/>
                <w:szCs w:val="20"/>
                <w:color w:val="auto"/>
              </w:rPr>
            </w:pPr>
            <w:r>
              <w:rPr>
                <w:rFonts w:ascii="Times New Roman" w:cs="Times New Roman" w:eastAsia="Times New Roman" w:hAnsi="Times New Roman"/>
                <w:sz w:val="22"/>
                <w:szCs w:val="22"/>
                <w:color w:val="auto"/>
              </w:rPr>
              <w:t>uncappednanobiotix@uncappedcommunications.com</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2"/>
          <w:szCs w:val="22"/>
          <w:u w:val="single" w:color="auto"/>
          <w:color w:val="auto"/>
        </w:rPr>
        <w:t>carolinehardy@outlook.fr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Attachment</w:t>
      </w:r>
    </w:p>
    <w:p>
      <w:pPr>
        <w:spacing w:after="0" w:line="21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2026-06-05 -- NBTX -- Voting Rights &amp; Shares Capital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Times New Roman" w:cs="Times New Roman" w:eastAsia="Times New Roman" w:hAnsi="Times New Roman"/>
          <w:sz w:val="21"/>
          <w:szCs w:val="21"/>
          <w:color w:val="auto"/>
        </w:rPr>
        <w:t>FINAL (https://ml.globenewswire.com/Resource/Download/388c5de6-a196-49cb-a369-d4e73af31e42)</w:t>
      </w:r>
    </w:p>
    <w:sectPr>
      <w:pgSz w:w="11900" w:h="16838" w:orient="portrait"/>
      <w:cols w:equalWidth="0" w:num="1">
        <w:col w:w="10139"/>
      </w:cols>
      <w:pgMar w:left="32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2"/>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2026-06-05T15:21:19Z</dcterms:created>
  <dcterms:modified xsi:type="dcterms:W3CDTF">2026-06-05T15:21:19Z</dcterms:modified>
</cp:coreProperties>
</file>