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082526.htm"/>
      <w:bookmarkStart w:id="1" w:name="ksf6k_0825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August 2026</w:t>
      </w:r>
    </w:p>
    <w:p>
      <w:pPr>
        <w:pStyle w:val="TextBody"/>
        <w:bidi w:val="0"/>
        <w:jc w:val="center"/>
        <w:rPr/>
      </w:pPr>
      <w:r>
        <w:rPr/>
        <w:t xml:space="preserve">Commission File Number: </w:t>
      </w:r>
      <w:r>
        <w:rPr>
          <w:rStyle w:val="StrongEmphasis"/>
        </w:rPr>
        <w:t>001-39777</w:t>
      </w:r>
    </w:p>
    <w:p>
      <w:pPr>
        <w:pStyle w:val="TextBody"/>
        <w:bidi w:val="0"/>
        <w:jc w:val="center"/>
        <w:rPr/>
      </w:pPr>
      <w:r>
        <w:rPr>
          <w:rStyle w:val="StrongEmphasis"/>
          <w:sz w:val="24"/>
        </w:rPr>
        <w:t>Nanobiotix S.A.</w:t>
      </w:r>
      <w:r>
        <w:rPr/>
        <w:br/>
        <w:t>(Translation of registrant's name into English)</w:t>
      </w:r>
    </w:p>
    <w:p>
      <w:pPr>
        <w:pStyle w:val="TextBody"/>
        <w:bidi w:val="0"/>
        <w:jc w:val="center"/>
        <w:rPr/>
      </w:pPr>
      <w:r>
        <w:rPr>
          <w:rStyle w:val="StrongEmphasis"/>
        </w:rPr>
        <w:t>60 Rue de Wattignies 75012 Paris, France</w:t>
      </w:r>
      <w:r>
        <w:rPr/>
        <w:br/>
        <w:t>(Address of principal executive office)</w:t>
      </w:r>
    </w:p>
    <w:p>
      <w:pPr>
        <w:pStyle w:val="TextBody"/>
        <w:bidi w:val="0"/>
        <w:spacing w:before="0" w:after="283"/>
        <w:jc w:val="left"/>
        <w:rPr/>
      </w:pPr>
      <w:r>
        <w:rPr/>
        <w:t>Indicate by check mark whether the registrant files or will file annual reports under cover of Form 20-F or Form 40-F.</w:t>
        <w:br/>
        <w:t>Form 20-F [ X ]      Form 40-F [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spacing w:before="0" w:after="283"/>
        <w:jc w:val="left"/>
        <w:rPr/>
      </w:pPr>
      <w:r>
        <w:rPr/>
        <w:t xml:space="preserve">On August 25, 2026, the Registrant issued a press release, a copy of which is attached hereto as Exhibit 99.1 and is incorporated herein by reference. </w:t>
        <w:br/>
        <w:br/>
      </w:r>
      <w:hyperlink w:anchor="exh_991.htm">
        <w:r>
          <w:rPr>
            <w:rStyle w:val="InternetLink"/>
          </w:rPr>
          <w:t>(c) Exhibit 99.1. Press release dated August 25, 2026</w:t>
        </w:r>
      </w:hyperlink>
    </w:p>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7"/>
        <w:gridCol w:w="610"/>
        <w:gridCol w:w="4798"/>
      </w:tblGrid>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rStyle w:val="StrongEmphasis"/>
                <w:u w:val="single"/>
              </w:rPr>
              <w:t>    </w:t>
            </w:r>
            <w:r>
              <w:rPr>
                <w:rStyle w:val="StrongEmphasis"/>
                <w:u w:val="single"/>
              </w:rPr>
              <w:t>Nanobiotix S.A.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(Registrant)</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r>
        <w:trPr/>
        <w:tc>
          <w:tcPr>
            <w:tcW w:w="4797" w:type="dxa"/>
            <w:tcBorders/>
          </w:tcPr>
          <w:p>
            <w:pPr>
              <w:pStyle w:val="TableContents"/>
              <w:bidi w:val="0"/>
              <w:spacing w:before="0" w:after="283"/>
              <w:jc w:val="left"/>
              <w:rPr/>
            </w:pPr>
            <w:r>
              <w:rPr/>
              <w:t>Date: August 25, 2026</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u w:val="single"/>
              </w:rPr>
            </w:pPr>
            <w:r>
              <w:rPr>
                <w:u w:val="single"/>
              </w:rPr>
              <w:t>    </w:t>
            </w:r>
            <w:r>
              <w:rPr>
                <w:u w:val="single"/>
              </w:rPr>
              <w:t>/s/ Bart Van Rhijn    </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Bart Van Rhijn</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center"/>
              <w:rPr/>
            </w:pPr>
            <w:r>
              <w:rPr/>
              <w:t>Chief Financial Officer</w:t>
            </w:r>
          </w:p>
        </w:tc>
      </w:tr>
      <w:tr>
        <w:trPr/>
        <w:tc>
          <w:tcPr>
            <w:tcW w:w="4797" w:type="dxa"/>
            <w:tcBorders/>
          </w:tcPr>
          <w:p>
            <w:pPr>
              <w:pStyle w:val="TableContents"/>
              <w:bidi w:val="0"/>
              <w:spacing w:before="0" w:after="283"/>
              <w:jc w:val="left"/>
              <w:rPr/>
            </w:pPr>
            <w:r>
              <w:rPr/>
              <w:t> </w:t>
            </w:r>
          </w:p>
        </w:tc>
        <w:tc>
          <w:tcPr>
            <w:tcW w:w="610" w:type="dxa"/>
            <w:tcBorders/>
          </w:tcPr>
          <w:p>
            <w:pPr>
              <w:pStyle w:val="TableContents"/>
              <w:bidi w:val="0"/>
              <w:spacing w:before="0" w:after="283"/>
              <w:jc w:val="left"/>
              <w:rPr/>
            </w:pPr>
            <w:r>
              <w:rPr/>
              <w:t> </w:t>
            </w:r>
          </w:p>
        </w:tc>
        <w:tc>
          <w:tcPr>
            <w:tcW w:w="4798"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Voting Rights and Shares Capital of the Company</w:t>
      </w:r>
    </w:p>
    <w:p>
      <w:pPr>
        <w:pStyle w:val="TextBody"/>
        <w:bidi w:val="0"/>
        <w:jc w:val="center"/>
        <w:rPr/>
      </w:pPr>
      <w:r>
        <w:rPr>
          <w:rStyle w:val="Emphasis"/>
        </w:rPr>
        <w:t>In accordance with articles L.233-8 II of the French Commercial Code and 223-16 of the General Regulation of the French Financial Markets Authority (Autorité des Marchés Financiers)</w:t>
      </w:r>
    </w:p>
    <w:p>
      <w:pPr>
        <w:pStyle w:val="TextBody"/>
        <w:bidi w:val="0"/>
        <w:spacing w:before="0" w:after="283"/>
        <w:jc w:val="left"/>
        <w:rPr/>
      </w:pPr>
      <w:r>
        <w:rPr/>
        <w:t xml:space="preserve">PARIS, Aug. 25, 2026 (GLOBE NEWSWIRE) -- </w:t>
        <w:br/>
        <w:t>Market: Euronext Paris / Nasdaq</w:t>
        <w:br/>
        <w:t xml:space="preserve">Euronext Compartment: B </w:t>
        <w:br/>
        <w:t>ISIN code: FR0011341205</w:t>
        <w:br/>
        <w:t>Nasdaq: NBTX</w:t>
        <w:br/>
        <w:t>Bloomberg: NANO:FP</w:t>
        <w:br/>
        <w:t>Reuters: NANO.PA</w:t>
        <w:br/>
        <w:t>Website: www.nanobiotix.com</w:t>
      </w:r>
    </w:p>
    <w:tbl>
      <w:tblPr>
        <w:tblW w:w="7504" w:type="dxa"/>
        <w:jc w:val="left"/>
        <w:tblInd w:w="-10" w:type="dxa"/>
        <w:tblLayout w:type="fixed"/>
        <w:tblCellMar>
          <w:top w:w="28" w:type="dxa"/>
          <w:left w:w="28" w:type="dxa"/>
          <w:bottom w:w="28" w:type="dxa"/>
          <w:right w:w="28" w:type="dxa"/>
        </w:tblCellMar>
      </w:tblPr>
      <w:tblGrid>
        <w:gridCol w:w="1411"/>
        <w:gridCol w:w="1966"/>
        <w:gridCol w:w="2041"/>
        <w:gridCol w:w="2086"/>
      </w:tblGrid>
      <w:tr>
        <w:trPr/>
        <w:tc>
          <w:tcPr>
            <w:tcW w:w="1411"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Date</w:t>
            </w:r>
            <w:r>
              <w:rPr/>
              <w:br/>
              <w:br/>
              <w:br/>
            </w:r>
          </w:p>
        </w:tc>
        <w:tc>
          <w:tcPr>
            <w:tcW w:w="1966" w:type="dxa"/>
            <w:vMerge w:val="restart"/>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Number of Shares</w:t>
              <w:br/>
              <w:t>Outstanding</w:t>
            </w:r>
            <w:r>
              <w:rPr/>
              <w:br/>
              <w:br/>
            </w:r>
          </w:p>
        </w:tc>
        <w:tc>
          <w:tcPr>
            <w:tcW w:w="4127" w:type="dxa"/>
            <w:gridSpan w:val="2"/>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Total number of voting rights</w:t>
            </w:r>
          </w:p>
        </w:tc>
      </w:tr>
      <w:tr>
        <w:trPr/>
        <w:tc>
          <w:tcPr>
            <w:tcW w:w="1411"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1966" w:type="dxa"/>
            <w:vMerge w:val="continue"/>
            <w:tcBorders>
              <w:top w:val="single" w:sz="8" w:space="0" w:color="000000"/>
              <w:left w:val="single" w:sz="8" w:space="0" w:color="000000"/>
              <w:bottom w:val="single" w:sz="8" w:space="0" w:color="000000"/>
              <w:right w:val="single" w:sz="8" w:space="0" w:color="000000"/>
            </w:tcBorders>
            <w:vAlign w:val="center"/>
          </w:tcPr>
          <w:p>
            <w:pPr>
              <w:pStyle w:val="Normal"/>
              <w:bidi w:val="0"/>
              <w:jc w:val="left"/>
              <w:rPr/>
            </w:pPr>
            <w:r>
              <w:rPr/>
            </w:r>
          </w:p>
        </w:tc>
        <w:tc>
          <w:tcPr>
            <w:tcW w:w="2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Total voting rights,</w:t>
              <w:br/>
              <w:t>theoretical</w:t>
            </w:r>
            <w:r>
              <w:rPr>
                <w:rStyle w:val="StrongEmphasis"/>
                <w:position w:val="8"/>
                <w:sz w:val="19"/>
              </w:rPr>
              <w:t>1</w:t>
            </w:r>
          </w:p>
        </w:tc>
        <w:tc>
          <w:tcPr>
            <w:tcW w:w="2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rStyle w:val="StrongEmphasis"/>
              </w:rPr>
              <w:t>Total voting rights,</w:t>
            </w:r>
            <w:r>
              <w:rPr/>
              <w:br/>
            </w:r>
            <w:r>
              <w:rPr>
                <w:rStyle w:val="StrongEmphasis"/>
              </w:rPr>
              <w:t>exercisable</w:t>
            </w:r>
            <w:r>
              <w:rPr>
                <w:rStyle w:val="StrongEmphasis"/>
                <w:position w:val="8"/>
                <w:sz w:val="19"/>
              </w:rPr>
              <w:t>2</w:t>
            </w:r>
          </w:p>
        </w:tc>
      </w:tr>
      <w:tr>
        <w:trPr/>
        <w:tc>
          <w:tcPr>
            <w:tcW w:w="141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July 31, 2026</w:t>
            </w:r>
          </w:p>
        </w:tc>
        <w:tc>
          <w:tcPr>
            <w:tcW w:w="196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50,833,462</w:t>
            </w:r>
          </w:p>
        </w:tc>
        <w:tc>
          <w:tcPr>
            <w:tcW w:w="2041"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54,534,179</w:t>
            </w:r>
          </w:p>
        </w:tc>
        <w:tc>
          <w:tcPr>
            <w:tcW w:w="208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pPr>
            <w:r>
              <w:rPr/>
              <w:t>54,512,061</w:t>
            </w:r>
          </w:p>
        </w:tc>
      </w:tr>
    </w:tbl>
    <w:p>
      <w:pPr>
        <w:pStyle w:val="TextBody"/>
        <w:bidi w:val="0"/>
        <w:jc w:val="center"/>
        <w:rPr/>
      </w:pPr>
      <w:r>
        <w:rPr>
          <w:rStyle w:val="Emphasis"/>
        </w:rPr>
        <w:t>***</w:t>
      </w:r>
    </w:p>
    <w:p>
      <w:pPr>
        <w:pStyle w:val="TextBody"/>
        <w:bidi w:val="0"/>
        <w:spacing w:before="0" w:after="283"/>
        <w:jc w:val="left"/>
        <w:rPr/>
      </w:pPr>
      <w:r>
        <w:rPr>
          <w:rStyle w:val="StrongEmphasis"/>
        </w:rPr>
        <w:t>About NANOBIOTIX</w:t>
      </w:r>
    </w:p>
    <w:p>
      <w:pPr>
        <w:pStyle w:val="TextBody"/>
        <w:bidi w:val="0"/>
        <w:jc w:val="both"/>
        <w:rPr/>
      </w:pPr>
      <w:r>
        <w:rPr/>
        <w:t>Nanobiotix is a late-stage clinical biotechnology company pioneering disruptive, physics-based therapeutic approaches to revolutionize treatment outcomes for millions of patients; supported by people committed to making a difference for humanity. The Company’s philosophy is rooted in the concept of pushing past the boundaries of what is known to expand possibilities for human life.</w:t>
      </w:r>
    </w:p>
    <w:p>
      <w:pPr>
        <w:pStyle w:val="TextBody"/>
        <w:bidi w:val="0"/>
        <w:jc w:val="both"/>
        <w:rPr/>
      </w:pPr>
      <w:r>
        <w:rPr/>
        <w:t>Incorporated in 2003, Nanobiotix is headquartered in Paris, France and is listed on Euronext Paris since 2012 and on the Nasdaq Global Select Market in New York City since December 2020. The Company has a subsidiary in Cambridge, Massachusetts (United States).</w:t>
      </w:r>
    </w:p>
    <w:p>
      <w:pPr>
        <w:pStyle w:val="TextBody"/>
        <w:bidi w:val="0"/>
        <w:jc w:val="both"/>
        <w:rPr/>
      </w:pPr>
      <w:r>
        <w:rPr/>
        <w:t>Nanobiotix is the owner of more than 30 patent families associated with three (3) nanotechnology platforms with applications in 1) oncology; 2) bioavailability and biodistribution; and 3) disorders of the central nervous system.</w:t>
      </w:r>
    </w:p>
    <w:p>
      <w:pPr>
        <w:pStyle w:val="TextBody"/>
        <w:bidi w:val="0"/>
        <w:jc w:val="both"/>
        <w:rPr/>
      </w:pPr>
      <w:r>
        <w:rPr/>
        <w:t>For more information about Nanobiotix, visit us at www.nanobiotix.com or follow us on LinkedIn and Twitter.</w:t>
      </w:r>
    </w:p>
    <w:p>
      <w:pPr>
        <w:pStyle w:val="TextBody"/>
        <w:bidi w:val="0"/>
        <w:jc w:val="both"/>
        <w:rPr/>
      </w:pPr>
      <w:r>
        <w:rPr>
          <w:rStyle w:val="StrongEmphasis"/>
        </w:rPr>
        <w:t>Contacts</w:t>
      </w:r>
    </w:p>
    <w:tbl>
      <w:tblPr>
        <w:tblW w:w="8503" w:type="dxa"/>
        <w:jc w:val="left"/>
        <w:tblInd w:w="0" w:type="dxa"/>
        <w:tblLayout w:type="fixed"/>
        <w:tblCellMar>
          <w:top w:w="28" w:type="dxa"/>
          <w:left w:w="0" w:type="dxa"/>
          <w:bottom w:w="28" w:type="dxa"/>
          <w:right w:w="0" w:type="dxa"/>
        </w:tblCellMar>
      </w:tblPr>
      <w:tblGrid>
        <w:gridCol w:w="3136"/>
        <w:gridCol w:w="5176"/>
        <w:gridCol w:w="191"/>
      </w:tblGrid>
      <w:tr>
        <w:trPr/>
        <w:tc>
          <w:tcPr>
            <w:tcW w:w="8312" w:type="dxa"/>
            <w:gridSpan w:val="2"/>
            <w:tcBorders>
              <w:top w:val="single" w:sz="8" w:space="0" w:color="000000"/>
              <w:bottom w:val="single" w:sz="8" w:space="0" w:color="000000"/>
            </w:tcBorders>
            <w:vAlign w:val="center"/>
          </w:tcPr>
          <w:p>
            <w:pPr>
              <w:pStyle w:val="TableContents"/>
              <w:bidi w:val="0"/>
              <w:spacing w:before="0" w:after="283"/>
              <w:jc w:val="center"/>
              <w:rPr/>
            </w:pPr>
            <w:r>
              <w:rPr>
                <w:rStyle w:val="Emphasis"/>
              </w:rPr>
              <w:t>Nanobiotix</w:t>
            </w:r>
          </w:p>
        </w:tc>
        <w:tc>
          <w:tcPr>
            <w:tcW w:w="191" w:type="dxa"/>
            <w:tcBorders/>
            <w:tcMar>
              <w:left w:w="28" w:type="dxa"/>
              <w:right w:w="28" w:type="dxa"/>
            </w:tcMar>
            <w:vAlign w:val="center"/>
          </w:tcPr>
          <w:p>
            <w:pPr>
              <w:pStyle w:val="TableContents"/>
              <w:bidi w:val="0"/>
              <w:spacing w:before="0" w:after="283"/>
              <w:jc w:val="left"/>
              <w:rPr/>
            </w:pPr>
            <w:r>
              <w:rPr/>
              <w:t> </w:t>
            </w:r>
          </w:p>
        </w:tc>
      </w:tr>
      <w:tr>
        <w:trPr/>
        <w:tc>
          <w:tcPr>
            <w:tcW w:w="3136" w:type="dxa"/>
            <w:tcBorders>
              <w:bottom w:val="single" w:sz="8" w:space="0" w:color="000000"/>
            </w:tcBorders>
            <w:tcMar>
              <w:top w:w="0" w:type="dxa"/>
            </w:tcMar>
            <w:vAlign w:val="center"/>
          </w:tcPr>
          <w:p>
            <w:pPr>
              <w:pStyle w:val="TableContents"/>
              <w:bidi w:val="0"/>
              <w:spacing w:before="0" w:after="283"/>
              <w:jc w:val="left"/>
              <w:rPr/>
            </w:pPr>
            <w:r>
              <w:rPr>
                <w:rStyle w:val="StrongEmphasis"/>
              </w:rPr>
              <w:t>Communications Department</w:t>
            </w:r>
            <w:r>
              <w:rPr/>
              <w:br/>
            </w:r>
            <w:r>
              <w:rPr>
                <w:rStyle w:val="Emphasis"/>
              </w:rPr>
              <w:t>Brandon Owens</w:t>
            </w:r>
            <w:r>
              <w:rPr/>
              <w:br/>
            </w:r>
            <w:r>
              <w:rPr>
                <w:rStyle w:val="Emphasis"/>
              </w:rPr>
              <w:t>VP, Communications</w:t>
            </w:r>
            <w:r>
              <w:rPr/>
              <w:br/>
              <w:t>+1 (617) 852-4835</w:t>
              <w:br/>
            </w:r>
            <w:r>
              <w:rPr>
                <w:u w:val="single"/>
              </w:rPr>
              <w:t>contact@nanobiotix.com</w:t>
            </w:r>
          </w:p>
        </w:tc>
        <w:tc>
          <w:tcPr>
            <w:tcW w:w="5176" w:type="dxa"/>
            <w:tcBorders>
              <w:top w:val="single" w:sz="8" w:space="0" w:color="000000"/>
              <w:bottom w:val="single" w:sz="8" w:space="0" w:color="000000"/>
            </w:tcBorders>
            <w:vAlign w:val="center"/>
          </w:tcPr>
          <w:p>
            <w:pPr>
              <w:pStyle w:val="TableContents"/>
              <w:bidi w:val="0"/>
              <w:spacing w:before="0" w:after="283"/>
              <w:jc w:val="left"/>
              <w:rPr/>
            </w:pPr>
            <w:r>
              <w:rPr>
                <w:rStyle w:val="StrongEmphasis"/>
              </w:rPr>
              <w:t>Investor Relations Department</w:t>
            </w:r>
            <w:r>
              <w:rPr/>
              <w:br/>
            </w:r>
            <w:r>
              <w:rPr>
                <w:rStyle w:val="Emphasis"/>
              </w:rPr>
              <w:t>Joanne Choi</w:t>
            </w:r>
            <w:r>
              <w:rPr/>
              <w:br/>
            </w:r>
            <w:r>
              <w:rPr>
                <w:rStyle w:val="Emphasis"/>
              </w:rPr>
              <w:t>VP, Investor Relations (US)</w:t>
            </w:r>
            <w:r>
              <w:rPr/>
              <w:br/>
            </w:r>
            <w:r>
              <w:rPr>
                <w:rStyle w:val="Emphasis"/>
              </w:rPr>
              <w:t>+1 (713) 609-3150</w:t>
            </w:r>
            <w:r>
              <w:rPr/>
              <w:br/>
              <w:br/>
            </w:r>
            <w:r>
              <w:rPr>
                <w:rStyle w:val="Emphasis"/>
              </w:rPr>
              <w:t>Ricky Bhajun</w:t>
            </w:r>
            <w:r>
              <w:rPr/>
              <w:br/>
            </w:r>
            <w:r>
              <w:rPr>
                <w:rStyle w:val="Emphasis"/>
              </w:rPr>
              <w:t>Director, Investor Relations (EU)</w:t>
            </w:r>
            <w:r>
              <w:rPr/>
              <w:br/>
              <w:br/>
            </w:r>
            <w:r>
              <w:rPr>
                <w:u w:val="single"/>
              </w:rPr>
              <w:t>investors@nanobiotix.com</w:t>
            </w:r>
          </w:p>
        </w:tc>
        <w:tc>
          <w:tcPr>
            <w:tcW w:w="191" w:type="dxa"/>
            <w:tcBorders/>
            <w:tcMar>
              <w:left w:w="28" w:type="dxa"/>
              <w:right w:w="28" w:type="dxa"/>
            </w:tcMar>
            <w:vAlign w:val="center"/>
          </w:tcPr>
          <w:p>
            <w:pPr>
              <w:pStyle w:val="TableContents"/>
              <w:bidi w:val="0"/>
              <w:spacing w:before="0" w:after="283"/>
              <w:jc w:val="left"/>
              <w:rPr/>
            </w:pPr>
            <w:r>
              <w:rPr/>
              <w:t> </w:t>
            </w:r>
          </w:p>
        </w:tc>
      </w:tr>
      <w:tr>
        <w:trPr/>
        <w:tc>
          <w:tcPr>
            <w:tcW w:w="8312" w:type="dxa"/>
            <w:gridSpan w:val="2"/>
            <w:tcBorders>
              <w:top w:val="single" w:sz="8" w:space="0" w:color="000000"/>
              <w:bottom w:val="single" w:sz="8" w:space="0" w:color="000000"/>
            </w:tcBorders>
            <w:vAlign w:val="center"/>
          </w:tcPr>
          <w:p>
            <w:pPr>
              <w:pStyle w:val="TableContents"/>
              <w:bidi w:val="0"/>
              <w:spacing w:before="0" w:after="283"/>
              <w:jc w:val="center"/>
              <w:rPr/>
            </w:pPr>
            <w:r>
              <w:rPr>
                <w:rStyle w:val="Emphasis"/>
              </w:rPr>
              <w:t>Media Relations</w:t>
            </w:r>
          </w:p>
        </w:tc>
        <w:tc>
          <w:tcPr>
            <w:tcW w:w="191" w:type="dxa"/>
            <w:tcBorders/>
            <w:tcMar>
              <w:left w:w="28" w:type="dxa"/>
              <w:right w:w="28" w:type="dxa"/>
            </w:tcMar>
            <w:vAlign w:val="center"/>
          </w:tcPr>
          <w:p>
            <w:pPr>
              <w:pStyle w:val="TableContents"/>
              <w:bidi w:val="0"/>
              <w:spacing w:before="0" w:after="283"/>
              <w:jc w:val="left"/>
              <w:rPr/>
            </w:pPr>
            <w:r>
              <w:rPr/>
              <w:t> </w:t>
            </w:r>
          </w:p>
        </w:tc>
      </w:tr>
      <w:tr>
        <w:trPr/>
        <w:tc>
          <w:tcPr>
            <w:tcW w:w="3136" w:type="dxa"/>
            <w:tcBorders/>
            <w:tcMar>
              <w:left w:w="28" w:type="dxa"/>
              <w:right w:w="28" w:type="dxa"/>
            </w:tcMar>
            <w:vAlign w:val="center"/>
          </w:tcPr>
          <w:p>
            <w:pPr>
              <w:pStyle w:val="TableContents"/>
              <w:bidi w:val="0"/>
              <w:spacing w:before="0" w:after="283"/>
              <w:jc w:val="left"/>
              <w:rPr/>
            </w:pPr>
            <w:r>
              <w:rPr/>
              <w:br/>
              <w:t>France – </w:t>
            </w:r>
            <w:r>
              <w:rPr>
                <w:rStyle w:val="StrongEmphasis"/>
              </w:rPr>
              <w:t>HARDY</w:t>
            </w:r>
            <w:r>
              <w:rPr/>
              <w:br/>
              <w:t>Caroline Hardy</w:t>
              <w:br/>
              <w:t>+33 06 70 33 49 50</w:t>
              <w:br/>
            </w:r>
            <w:r>
              <w:rPr>
                <w:u w:val="single"/>
              </w:rPr>
              <w:t>carolinehardy@outlook.fr</w:t>
            </w:r>
            <w:r>
              <w:rPr/>
              <w:t xml:space="preserve"> </w:t>
            </w:r>
          </w:p>
        </w:tc>
        <w:tc>
          <w:tcPr>
            <w:tcW w:w="5176" w:type="dxa"/>
            <w:tcBorders>
              <w:top w:val="single" w:sz="8" w:space="0" w:color="000000"/>
            </w:tcBorders>
            <w:tcMar>
              <w:bottom w:w="0" w:type="dxa"/>
            </w:tcMar>
            <w:vAlign w:val="center"/>
          </w:tcPr>
          <w:p>
            <w:pPr>
              <w:pStyle w:val="TableContents"/>
              <w:bidi w:val="0"/>
              <w:spacing w:before="0" w:after="283"/>
              <w:jc w:val="left"/>
              <w:rPr/>
            </w:pPr>
            <w:r>
              <w:rPr/>
              <w:t>Global – </w:t>
            </w:r>
            <w:r>
              <w:rPr>
                <w:rStyle w:val="StrongEmphasis"/>
              </w:rPr>
              <w:t>uncapped</w:t>
              <w:br/>
            </w:r>
            <w:r>
              <w:rPr/>
              <w:t xml:space="preserve">Becky Lauer </w:t>
              <w:br/>
              <w:t>+1 (646) 286-0057</w:t>
              <w:br/>
              <w:t>uncappednanobiotix@uncappedcommunications.com</w:t>
            </w:r>
          </w:p>
        </w:tc>
        <w:tc>
          <w:tcPr>
            <w:tcW w:w="191" w:type="dxa"/>
            <w:tcBorders/>
            <w:tcMar>
              <w:left w:w="28" w:type="dxa"/>
              <w:right w:w="28" w:type="dxa"/>
            </w:tcMar>
            <w:vAlign w:val="center"/>
          </w:tcPr>
          <w:p>
            <w:pPr>
              <w:pStyle w:val="TableContents"/>
              <w:bidi w:val="0"/>
              <w:spacing w:before="0" w:after="283"/>
              <w:jc w:val="left"/>
              <w:rPr/>
            </w:pPr>
            <w:r>
              <w:rPr/>
              <w:t> </w:t>
            </w:r>
          </w:p>
        </w:tc>
      </w:tr>
    </w:tbl>
    <w:p>
      <w:pPr>
        <w:pStyle w:val="TextBody"/>
        <w:bidi w:val="0"/>
        <w:spacing w:before="0" w:after="283"/>
        <w:jc w:val="left"/>
        <w:rPr/>
      </w:pPr>
      <w:r>
        <w:rPr>
          <w:position w:val="8"/>
          <w:sz w:val="19"/>
        </w:rPr>
        <w:br/>
        <w:t>__________________</w:t>
        <w:br/>
        <w:t>1</w:t>
      </w:r>
      <w:r>
        <w:rPr/>
        <w:t xml:space="preserve"> </w:t>
      </w:r>
      <w:r>
        <w:rPr>
          <w:rStyle w:val="Emphasis"/>
        </w:rPr>
        <w:t>The total number of theoretical (or “gross”) voting rights is used as the basis for calculating threshold crossings. In accordance with Article 223-11 of the AMF General Regulations, this number is calculated on the basis of all shares to which voting rights are attached, including those for which voting rights have been suspended.</w:t>
      </w:r>
    </w:p>
    <w:p>
      <w:pPr>
        <w:pStyle w:val="TextBody"/>
        <w:bidi w:val="0"/>
        <w:spacing w:before="0" w:after="283"/>
        <w:jc w:val="left"/>
        <w:rPr/>
      </w:pPr>
      <w:r>
        <w:rPr>
          <w:position w:val="8"/>
          <w:sz w:val="19"/>
        </w:rPr>
        <w:t>2</w:t>
      </w:r>
      <w:r>
        <w:rPr/>
        <w:t xml:space="preserve"> </w:t>
      </w:r>
      <w:r>
        <w:rPr>
          <w:rStyle w:val="Emphasis"/>
        </w:rPr>
        <w:t>The total number of exercisable at a shareholders’ meeting (or “net”) voting rights is calculated without taking into account shares for which voting rights have been suspended as shares held in treasury by the Company. It is released in order to ensure that the public is properly informed.</w:t>
      </w:r>
    </w:p>
    <w:p>
      <w:pPr>
        <w:pStyle w:val="TextBody"/>
        <w:bidi w:val="0"/>
        <w:spacing w:before="0" w:after="283"/>
        <w:jc w:val="left"/>
        <w:rPr/>
      </w:pPr>
      <w:bookmarkStart w:id="4" w:name="gnw_attachments_section-header"/>
      <w:bookmarkEnd w:id="4"/>
      <w:r>
        <w:rPr>
          <w:rStyle w:val="StrongEmphasis"/>
        </w:rPr>
        <w:t>Attachment</w:t>
      </w:r>
    </w:p>
    <w:p>
      <w:pPr>
        <w:pStyle w:val="TextBody"/>
        <w:numPr>
          <w:ilvl w:val="0"/>
          <w:numId w:val="2"/>
        </w:numPr>
        <w:tabs>
          <w:tab w:val="clear" w:pos="1134"/>
          <w:tab w:val="left" w:pos="709" w:leader="none"/>
        </w:tabs>
        <w:bidi w:val="0"/>
        <w:spacing w:before="0" w:after="283"/>
        <w:ind w:left="709" w:hanging="283"/>
        <w:jc w:val="left"/>
        <w:rPr/>
      </w:pPr>
      <w:bookmarkStart w:id="5" w:name="gnw_attachments_section-items"/>
      <w:bookmarkEnd w:id="5"/>
      <w:r>
        <w:rPr/>
        <w:t>2026-08-25 -- NBTX -- Voting Rights &amp; Shares Capital -- FINAL (https://ml.globenewswire.com/Resource/Download/a75fc54f-7266-4d49-8fa7-8f1990b8cbbe)</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575</Words>
  <Characters>3379</Characters>
  <CharactersWithSpaces>3969</CharactersWithSpaces>
  <Paragraphs>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