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333-285604</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PROSPECTUS SUPPLEMENT (To Prospectus Dated March 14, 2025)</w:t>
      </w:r>
    </w:p>
    <w:p>
      <w:pPr>
        <w:spacing w:after="0" w:line="2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85,000,000</w:t>
      </w:r>
    </w:p>
    <w:p>
      <w:pPr>
        <w:spacing w:after="0" w:line="3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2,184,662 Ordinary Shares</w:t>
      </w:r>
    </w:p>
    <w:p>
      <w:pPr>
        <w:spacing w:after="0" w:line="9" w:lineRule="exact"/>
        <w:rPr>
          <w:sz w:val="24"/>
          <w:szCs w:val="24"/>
          <w:color w:val="auto"/>
        </w:rPr>
      </w:pPr>
    </w:p>
    <w:p>
      <w:pPr>
        <w:jc w:val="center"/>
        <w:ind w:right="12"/>
        <w:spacing w:after="0" w:line="255" w:lineRule="auto"/>
        <w:rPr>
          <w:sz w:val="20"/>
          <w:szCs w:val="20"/>
          <w:color w:val="auto"/>
        </w:rPr>
      </w:pPr>
      <w:r>
        <w:rPr>
          <w:rFonts w:ascii="Times New Roman" w:cs="Times New Roman" w:eastAsia="Times New Roman" w:hAnsi="Times New Roman"/>
          <w:sz w:val="18"/>
          <w:szCs w:val="18"/>
          <w:b w:val="1"/>
          <w:bCs w:val="1"/>
          <w:color w:val="auto"/>
        </w:rPr>
        <w:t>(Including 225,373 Ordinary Shares In the Form of American Depositary Shares)          Pre-Funded Warrants to Purchase up to 345,099 Ordinary Shares          Ordinary Shares Issuable Upon Exercise of all the 345,099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155575</wp:posOffset>
            </wp:positionV>
            <wp:extent cx="259715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99" w:lineRule="exact"/>
        <w:rPr>
          <w:sz w:val="24"/>
          <w:szCs w:val="24"/>
          <w:color w:val="auto"/>
        </w:rPr>
      </w:pPr>
    </w:p>
    <w:p>
      <w:pPr>
        <w:ind w:left="8" w:right="420"/>
        <w:spacing w:after="0" w:line="261" w:lineRule="auto"/>
        <w:rPr>
          <w:sz w:val="20"/>
          <w:szCs w:val="20"/>
          <w:color w:val="auto"/>
        </w:rPr>
      </w:pPr>
      <w:r>
        <w:rPr>
          <w:rFonts w:ascii="Times New Roman" w:cs="Times New Roman" w:eastAsia="Times New Roman" w:hAnsi="Times New Roman"/>
          <w:sz w:val="14"/>
          <w:szCs w:val="14"/>
          <w:color w:val="auto"/>
        </w:rPr>
        <w:t>We are conducting a global offering (the “offering”) of 2,184,662 ordinary shares, €0.03 nominal value per share (“ordinary shares”), and 345,099 pre-funded warrants to purchase up to 345,099 ordinary shares.</w:t>
      </w:r>
    </w:p>
    <w:p>
      <w:pPr>
        <w:spacing w:after="0" w:line="28" w:lineRule="exact"/>
        <w:rPr>
          <w:sz w:val="24"/>
          <w:szCs w:val="24"/>
          <w:color w:val="auto"/>
        </w:rPr>
      </w:pPr>
    </w:p>
    <w:p>
      <w:pPr>
        <w:ind w:left="8" w:right="60"/>
        <w:spacing w:after="0" w:line="231" w:lineRule="auto"/>
        <w:rPr>
          <w:sz w:val="20"/>
          <w:szCs w:val="20"/>
          <w:color w:val="auto"/>
        </w:rPr>
      </w:pPr>
      <w:r>
        <w:rPr>
          <w:rFonts w:ascii="Times New Roman" w:cs="Times New Roman" w:eastAsia="Times New Roman" w:hAnsi="Times New Roman"/>
          <w:sz w:val="14"/>
          <w:szCs w:val="14"/>
          <w:color w:val="auto"/>
        </w:rPr>
        <w:t>This global offering consists of (i) a public offering in the United States of 225,373 ordinary shares to be delivered in the form of American Depositary Shares (“ADSs”), each ADS representing one ordinary share (the “U.S. offering”) and (ii) an offering outside the United States (the “European offering”) of (a) 1,959,289 ordinary shares and (b) 345,099 pre-funded warrants (for certain purchasers in lieu of ordinary shares) to purchase up to 345,099 ordinary shares, such European offering being exclusively addressed to “qualified investors,” as such term is defined in Article 2(e) of the Regulation (EU) No. 2017/1129 of the European Parliament and Council of June 14, 2017, as amended. Each pre-funded warrant is exercisable for one ordinary share. This prospectus supplement also relates to the ordinary shares issuable upon the exercise of the pre-funded warrants.</w:t>
      </w:r>
    </w:p>
    <w:p>
      <w:pPr>
        <w:spacing w:after="0" w:line="56" w:lineRule="exact"/>
        <w:rPr>
          <w:sz w:val="24"/>
          <w:szCs w:val="24"/>
          <w:color w:val="auto"/>
        </w:rPr>
      </w:pPr>
    </w:p>
    <w:p>
      <w:pPr>
        <w:ind w:left="8" w:right="40"/>
        <w:spacing w:after="0" w:line="233" w:lineRule="auto"/>
        <w:rPr>
          <w:sz w:val="20"/>
          <w:szCs w:val="20"/>
          <w:color w:val="auto"/>
        </w:rPr>
      </w:pPr>
      <w:r>
        <w:rPr>
          <w:rFonts w:ascii="Times New Roman" w:cs="Times New Roman" w:eastAsia="Times New Roman" w:hAnsi="Times New Roman"/>
          <w:sz w:val="14"/>
          <w:szCs w:val="14"/>
          <w:color w:val="auto"/>
        </w:rPr>
        <w:t>Our ordinary shares are listed on the regulated market of Euronext in Paris (“Euronext Paris”) under the symbol “NANO.” Our ADSs are listed on the Nasdaq Global Select Market (“Nasdaq”) under the symbol “NBTX.” On May 19, 2026, the last reported sale price of our ordinary shares on Euronext Paris was €38.48 per ordinary share and the last reported sale price of our ADSs on Nasdaq was $46.20 per ADS. There is no established public trading market for the pre-funded warrants, and we do not expect any such market to develop. We do not intend to list the pre-funded warrants on any domestic or foreign securities exchange or nationally recognized trading system. Without an active trading market, the liquidity of the pre-funded warrants will be limited.</w:t>
      </w:r>
    </w:p>
    <w:p>
      <w:pPr>
        <w:spacing w:after="0" w:line="56" w:lineRule="exact"/>
        <w:rPr>
          <w:sz w:val="24"/>
          <w:szCs w:val="24"/>
          <w:color w:val="auto"/>
        </w:rPr>
      </w:pPr>
    </w:p>
    <w:p>
      <w:pPr>
        <w:ind w:left="8" w:right="120"/>
        <w:spacing w:after="0" w:line="261" w:lineRule="auto"/>
        <w:rPr>
          <w:sz w:val="20"/>
          <w:szCs w:val="20"/>
          <w:color w:val="auto"/>
        </w:rPr>
      </w:pPr>
      <w:r>
        <w:rPr>
          <w:rFonts w:ascii="Times New Roman" w:cs="Times New Roman" w:eastAsia="Times New Roman" w:hAnsi="Times New Roman"/>
          <w:sz w:val="14"/>
          <w:szCs w:val="14"/>
          <w:color w:val="auto"/>
        </w:rPr>
        <w:t>The total number of ordinary shares (in the form of ADSs) in the U.S. offering and ordinary shares (including those issuable upon exercise of pre-funded warrants) in the European offering is subject to reallocation between them.</w:t>
      </w:r>
    </w:p>
    <w:p>
      <w:pPr>
        <w:spacing w:after="0" w:line="2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Each pre-funded warrant is exercisable for one ordinary share at an exercise price of €0.03 per ordinary share. Each pre-funded warrant will be immediately exercisable at any time at the option of the holder until such pre-funded warrant is exercised in full during a period of ten years from their issuance,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holder will be prohibited from exercising pre-funded warrants for ordinary shares if, as a result of such exercise, the holder, together with its affiliates and attribution parties under French law, would beneficially own more than a cap on beneficial ownership to be set by such holder of the total number of ordinary shares then issued and outstanding.</w:t>
      </w:r>
    </w:p>
    <w:p>
      <w:pPr>
        <w:spacing w:after="0" w:line="193" w:lineRule="exact"/>
        <w:rPr>
          <w:sz w:val="24"/>
          <w:szCs w:val="24"/>
          <w:color w:val="auto"/>
        </w:rPr>
      </w:pPr>
    </w:p>
    <w:p>
      <w:pPr>
        <w:ind w:left="8" w:right="260"/>
        <w:spacing w:after="0" w:line="241" w:lineRule="auto"/>
        <w:rPr>
          <w:sz w:val="20"/>
          <w:szCs w:val="20"/>
          <w:color w:val="auto"/>
        </w:rPr>
      </w:pPr>
      <w:r>
        <w:rPr>
          <w:rFonts w:ascii="Times New Roman" w:cs="Times New Roman" w:eastAsia="Times New Roman" w:hAnsi="Times New Roman"/>
          <w:sz w:val="14"/>
          <w:szCs w:val="14"/>
          <w:color w:val="auto"/>
        </w:rPr>
        <w:t>The purchase price of each ADS is $38.98. The purchase price of each pre-funded warrant to purchase one ordinary share is €33.57 (corresponding to $38.94), which is equal to the offering price per ordinary share to be sold in this offering minus €0.03, and the exercise price of each such pre-funded warrant is €0.03 per ordinary share. This prospectus supplement also relates to the offering of the ordinary shares issuable upon exercise of the pre-funded warrants.</w:t>
      </w:r>
    </w:p>
    <w:p>
      <w:pPr>
        <w:spacing w:after="0" w:line="55" w:lineRule="exact"/>
        <w:rPr>
          <w:sz w:val="24"/>
          <w:szCs w:val="24"/>
          <w:color w:val="auto"/>
        </w:rPr>
      </w:pPr>
    </w:p>
    <w:p>
      <w:pPr>
        <w:ind w:left="8" w:right="180"/>
        <w:spacing w:after="0" w:line="261" w:lineRule="auto"/>
        <w:rPr>
          <w:sz w:val="20"/>
          <w:szCs w:val="20"/>
          <w:color w:val="auto"/>
        </w:rPr>
      </w:pPr>
      <w:r>
        <w:rPr>
          <w:rFonts w:ascii="Times New Roman" w:cs="Times New Roman" w:eastAsia="Times New Roman" w:hAnsi="Times New Roman"/>
          <w:sz w:val="14"/>
          <w:szCs w:val="14"/>
          <w:color w:val="auto"/>
        </w:rPr>
        <w:t>We are a “foreign private issuer” under applicable U.S. federal securities laws and are eligible for reduced public company reporting requirements, as described in our Annual Report (as defined below).</w:t>
      </w:r>
    </w:p>
    <w:p>
      <w:pPr>
        <w:spacing w:after="0" w:line="26" w:lineRule="exact"/>
        <w:rPr>
          <w:sz w:val="24"/>
          <w:szCs w:val="24"/>
          <w:color w:val="auto"/>
        </w:rPr>
      </w:pPr>
    </w:p>
    <w:p>
      <w:pPr>
        <w:ind w:left="8" w:right="140"/>
        <w:spacing w:after="0" w:line="243"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Please read “Risk Factors” beginning on page S-</w:t>
      </w:r>
      <w:r>
        <w:rPr>
          <w:rFonts w:ascii="Times New Roman" w:cs="Times New Roman" w:eastAsia="Times New Roman" w:hAnsi="Times New Roman"/>
          <w:sz w:val="14"/>
          <w:szCs w:val="14"/>
          <w:b w:val="1"/>
          <w:bCs w:val="1"/>
          <w:u w:val="single" w:color="auto"/>
          <w:color w:val="0000EE"/>
        </w:rPr>
        <w:t>14</w:t>
      </w:r>
      <w:r>
        <w:rPr>
          <w:rFonts w:ascii="Times New Roman" w:cs="Times New Roman" w:eastAsia="Times New Roman" w:hAnsi="Times New Roman"/>
          <w:sz w:val="14"/>
          <w:szCs w:val="14"/>
          <w:b w:val="1"/>
          <w:bCs w:val="1"/>
          <w:color w:val="auto"/>
        </w:rPr>
        <w:t xml:space="preserve"> of this prospectus supplement and under similar headings in the documents incorporated by reference into this prospectus supplement and the accompanying prospectus for a discussion of certain risks you should consider before investing in our securities.</w:t>
      </w:r>
    </w:p>
    <w:p>
      <w:pPr>
        <w:spacing w:after="0" w:line="51" w:lineRule="exact"/>
        <w:rPr>
          <w:sz w:val="24"/>
          <w:szCs w:val="24"/>
          <w:color w:val="auto"/>
        </w:rPr>
      </w:pPr>
    </w:p>
    <w:p>
      <w:pPr>
        <w:ind w:left="8" w:right="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U.S. state or other securities commission has approved or disapproved of these securities or determined if this prospectus supplement or the accompanying prospectus is truthful or complete. Any representation to the contrary is a criminal offense.</w:t>
      </w:r>
    </w:p>
    <w:p>
      <w:pPr>
        <w:spacing w:after="0" w:line="77"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w:t>
            </w:r>
          </w:p>
        </w:tc>
        <w:tc>
          <w:tcPr>
            <w:tcW w:w="1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 Pre-Funded</w:t>
            </w:r>
          </w:p>
        </w:tc>
        <w:tc>
          <w:tcPr>
            <w:tcW w:w="2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Total</w:t>
            </w:r>
            <w:r>
              <w:rPr>
                <w:rFonts w:ascii="Times New Roman" w:cs="Times New Roman" w:eastAsia="Times New Roman" w:hAnsi="Times New Roman"/>
                <w:sz w:val="23"/>
                <w:szCs w:val="23"/>
                <w:b w:val="1"/>
                <w:bCs w:val="1"/>
                <w:color w:val="auto"/>
                <w:w w:val="88"/>
                <w:vertAlign w:val="superscript"/>
              </w:rPr>
              <w:t>(1)</w:t>
            </w: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ADS</w:t>
            </w: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68"/>
              <w:spacing w:after="0" w:line="189" w:lineRule="exact"/>
              <w:rPr>
                <w:sz w:val="20"/>
                <w:szCs w:val="20"/>
                <w:color w:val="auto"/>
              </w:rPr>
            </w:pP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Offering price</w:t>
            </w:r>
          </w:p>
        </w:tc>
        <w:tc>
          <w:tcPr>
            <w:tcW w:w="36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33​.60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38​.98</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​33.57</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$98,585,352.07</w:t>
            </w:r>
          </w:p>
        </w:tc>
        <w:tc>
          <w:tcPr>
            <w:tcW w:w="0" w:type="dxa"/>
            <w:vAlign w:val="bottom"/>
          </w:tcPr>
          <w:p>
            <w:pPr>
              <w:spacing w:after="0"/>
              <w:rPr>
                <w:sz w:val="1"/>
                <w:szCs w:val="1"/>
                <w:color w:val="auto"/>
              </w:rPr>
            </w:pPr>
          </w:p>
        </w:tc>
      </w:tr>
      <w:tr>
        <w:trPr>
          <w:trHeight w:val="148"/>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Underwriting commissions</w:t>
            </w:r>
            <w:r>
              <w:rPr>
                <w:rFonts w:ascii="Times New Roman" w:cs="Times New Roman" w:eastAsia="Times New Roman" w:hAnsi="Times New Roman"/>
                <w:sz w:val="17"/>
                <w:szCs w:val="17"/>
                <w:color w:val="auto"/>
                <w:vertAlign w:val="superscript"/>
              </w:rPr>
              <w:t>(2)</w:t>
            </w:r>
          </w:p>
        </w:tc>
        <w:tc>
          <w:tcPr>
            <w:tcW w:w="9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€2.0160</w:t>
            </w:r>
          </w:p>
        </w:tc>
        <w:tc>
          <w:tcPr>
            <w:tcW w:w="8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$2.3388</w:t>
            </w:r>
          </w:p>
        </w:tc>
        <w:tc>
          <w:tcPr>
            <w:tcW w:w="180" w:type="dxa"/>
            <w:vAlign w:val="bottom"/>
          </w:tcPr>
          <w:p>
            <w:pPr>
              <w:spacing w:after="0"/>
              <w:rPr>
                <w:sz w:val="12"/>
                <w:szCs w:val="12"/>
                <w:color w:val="auto"/>
              </w:rPr>
            </w:pPr>
          </w:p>
        </w:tc>
        <w:tc>
          <w:tcPr>
            <w:tcW w:w="9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€2.0160</w:t>
            </w:r>
          </w:p>
        </w:tc>
        <w:tc>
          <w:tcPr>
            <w:tcW w:w="112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$ 5,915,121.12</w:t>
            </w: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Proceeds to us (before expenses)</w:t>
            </w:r>
            <w:r>
              <w:rPr>
                <w:rFonts w:ascii="Times New Roman" w:cs="Times New Roman" w:eastAsia="Times New Roman" w:hAnsi="Times New Roman"/>
                <w:sz w:val="17"/>
                <w:szCs w:val="17"/>
                <w:color w:val="auto"/>
                <w:vertAlign w:val="superscript"/>
              </w:rPr>
              <w:t>(3)</w:t>
            </w:r>
          </w:p>
        </w:tc>
        <w:tc>
          <w:tcPr>
            <w:tcW w:w="3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31.58</w:t>
            </w:r>
          </w:p>
        </w:tc>
        <w:tc>
          <w:tcPr>
            <w:tcW w:w="4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36.64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​31.56</w:t>
            </w:r>
          </w:p>
        </w:tc>
        <w:tc>
          <w:tcPr>
            <w:tcW w:w="1120" w:type="dxa"/>
            <w:vAlign w:val="bottom"/>
            <w:gridSpan w:val="2"/>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$92,670,230.95</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8229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3" w:lineRule="exact"/>
        <w:rPr>
          <w:sz w:val="24"/>
          <w:szCs w:val="2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exchange rate of €1.00 = $1.16 on May 20, 2026, as published by the European Central Bank on May 20, 2026.</w:t>
      </w:r>
    </w:p>
    <w:p>
      <w:pPr>
        <w:spacing w:after="0" w:line="28" w:lineRule="exact"/>
        <w:rPr>
          <w:rFonts w:ascii="Times New Roman" w:cs="Times New Roman" w:eastAsia="Times New Roman" w:hAnsi="Times New Roman"/>
          <w:sz w:val="14"/>
          <w:szCs w:val="1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of this prospectus supplement for additional information regarding underwriting compensation.</w:t>
      </w:r>
    </w:p>
    <w:p>
      <w:pPr>
        <w:spacing w:after="0" w:line="27" w:lineRule="exact"/>
        <w:rPr>
          <w:rFonts w:ascii="Times New Roman" w:cs="Times New Roman" w:eastAsia="Times New Roman" w:hAnsi="Times New Roman"/>
          <w:sz w:val="14"/>
          <w:szCs w:val="1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give effect to any exercise of any pre-funded warrants being issued in this offering.</w:t>
      </w:r>
    </w:p>
    <w:p>
      <w:pPr>
        <w:spacing w:after="0" w:line="69" w:lineRule="exact"/>
        <w:rPr>
          <w:sz w:val="24"/>
          <w:szCs w:val="24"/>
          <w:color w:val="auto"/>
        </w:rPr>
      </w:pPr>
    </w:p>
    <w:p>
      <w:pPr>
        <w:ind w:left="8" w:right="80"/>
        <w:spacing w:after="0" w:line="228" w:lineRule="auto"/>
        <w:rPr>
          <w:sz w:val="20"/>
          <w:szCs w:val="20"/>
          <w:color w:val="auto"/>
        </w:rPr>
      </w:pPr>
      <w:r>
        <w:rPr>
          <w:rFonts w:ascii="Times New Roman" w:cs="Times New Roman" w:eastAsia="Times New Roman" w:hAnsi="Times New Roman"/>
          <w:sz w:val="14"/>
          <w:szCs w:val="14"/>
          <w:color w:val="auto"/>
        </w:rPr>
        <w:t>For the U.S. offering, delivery of the ADSs is expected to be made on or about May 26, 2026, through the book-entry facilities of The Depository Trust Company, which is the second business day following the date of this prospectus supplement (such settlement cycle being referred to as “T+2”). Under Rule 15c6-1 of the Securities Exchange Act of 1934, as amended (the “Exchange Act”), trades in the secondary market generally are required to settle in one business day unless the parties to any such trade expressly agree otherwise. Accordingly, purchasers who wish to trade the ADSs on any date prior to the first business day before delivery of the ADSs will be required, by virtue of the fact that the ADSs initially will settle in T+2 to specify an alternative settlement cycle at the time of any such trade to prevent a failed settlement. Purchasers of the ADSs who wish to trade the ADSs prior to the date of delivery of the ADSs should consult their own advisors. For the European offering, delivery of the ordinary shares and pre-funded warrants is expected to be made on or about May 26, 2026 through the book-entry facilities of Euroclear France or, for the pre-funded warrants, by credit to the account of the holder(s) held by the French registrar.</w:t>
      </w:r>
    </w:p>
    <w:p>
      <w:pPr>
        <w:spacing w:after="0" w:line="46" w:lineRule="exact"/>
        <w:rPr>
          <w:sz w:val="24"/>
          <w:szCs w:val="24"/>
          <w:color w:val="auto"/>
        </w:rPr>
      </w:pPr>
    </w:p>
    <w:p>
      <w:pPr>
        <w:ind w:left="8" w:right="200"/>
        <w:spacing w:after="0" w:line="236" w:lineRule="auto"/>
        <w:rPr>
          <w:sz w:val="20"/>
          <w:szCs w:val="20"/>
          <w:color w:val="auto"/>
        </w:rPr>
      </w:pPr>
      <w:r>
        <w:rPr>
          <w:rFonts w:ascii="Times New Roman" w:cs="Times New Roman" w:eastAsia="Times New Roman" w:hAnsi="Times New Roman"/>
          <w:sz w:val="14"/>
          <w:szCs w:val="14"/>
          <w:color w:val="auto"/>
        </w:rPr>
        <w:t>We have agreed to issue, at the option of the underwriters, within 30 days from the date of the underwriting agreement to be executed between us and the underwriters, up to an aggregate of 33,805 additional ordinary shares (to be delivered in the form of ADSs) to be sold to the several underwriters at the applicable offering price. If the underwriters exercise this option in full, the total underwriting commissions payable by us will be €5.17 million ($6.00 million) and the total proceeds to us, before expenses, will be €80.89 million ($93.83 million).</w:t>
      </w:r>
    </w:p>
    <w:p>
      <w:pPr>
        <w:spacing w:after="0" w:line="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57" w:lineRule="exact"/>
        <w:rPr>
          <w:sz w:val="24"/>
          <w:szCs w:val="24"/>
          <w:color w:val="auto"/>
        </w:rPr>
      </w:pPr>
    </w:p>
    <w:p>
      <w:pPr>
        <w:ind w:left="1188"/>
        <w:spacing w:after="0"/>
        <w:tabs>
          <w:tab w:leader="none" w:pos="4328" w:val="left"/>
          <w:tab w:leader="none" w:pos="7768" w:val="left"/>
        </w:tabs>
        <w:rPr>
          <w:sz w:val="20"/>
          <w:szCs w:val="20"/>
          <w:color w:val="auto"/>
        </w:rPr>
      </w:pPr>
      <w:r>
        <w:rPr>
          <w:rFonts w:ascii="Times New Roman" w:cs="Times New Roman" w:eastAsia="Times New Roman" w:hAnsi="Times New Roman"/>
          <w:sz w:val="18"/>
          <w:szCs w:val="18"/>
          <w:b w:val="1"/>
          <w:bCs w:val="1"/>
          <w:color w:val="auto"/>
        </w:rPr>
        <w:t>Jefferies</w:t>
      </w:r>
      <w:r>
        <w:rPr>
          <w:sz w:val="20"/>
          <w:szCs w:val="20"/>
          <w:color w:val="auto"/>
        </w:rPr>
        <w:tab/>
      </w:r>
      <w:r>
        <w:rPr>
          <w:rFonts w:ascii="Times New Roman" w:cs="Times New Roman" w:eastAsia="Times New Roman" w:hAnsi="Times New Roman"/>
          <w:sz w:val="18"/>
          <w:szCs w:val="18"/>
          <w:b w:val="1"/>
          <w:bCs w:val="1"/>
          <w:color w:val="auto"/>
        </w:rPr>
        <w:t>TD Cowen</w:t>
      </w:r>
      <w:r>
        <w:rPr>
          <w:sz w:val="20"/>
          <w:szCs w:val="20"/>
          <w:color w:val="auto"/>
        </w:rPr>
        <w:tab/>
      </w:r>
      <w:r>
        <w:rPr>
          <w:rFonts w:ascii="Times New Roman" w:cs="Times New Roman" w:eastAsia="Times New Roman" w:hAnsi="Times New Roman"/>
          <w:sz w:val="18"/>
          <w:szCs w:val="18"/>
          <w:b w:val="1"/>
          <w:bCs w:val="1"/>
          <w:color w:val="auto"/>
        </w:rPr>
        <w:t>Stifel</w:t>
      </w:r>
    </w:p>
    <w:p>
      <w:pPr>
        <w:sectPr>
          <w:pgSz w:w="11900" w:h="16838" w:orient="portrait"/>
          <w:cols w:equalWidth="0" w:num="1">
            <w:col w:w="9508"/>
          </w:cols>
          <w:pgMar w:left="1192" w:top="223" w:right="1199" w:bottom="1440" w:gutter="0" w:footer="0" w:header="0"/>
        </w:sectPr>
      </w:pPr>
    </w:p>
    <w:p>
      <w:pPr>
        <w:spacing w:after="0" w:line="15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Prospectus Supplement dated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127635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23" w:right="1199"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06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7"/>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0" w:type="dxa"/>
            <w:vAlign w:val="bottom"/>
          </w:tcPr>
          <w:p>
            <w:pPr>
              <w:spacing w:after="0"/>
              <w:rPr>
                <w:sz w:val="16"/>
                <w:szCs w:val="16"/>
                <w:color w:val="auto"/>
              </w:rPr>
            </w:pPr>
          </w:p>
        </w:tc>
        <w:tc>
          <w:tcPr>
            <w:tcW w:w="32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S-iv</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4780" w:type="dxa"/>
            <w:vAlign w:val="bottom"/>
            <w:gridSpan w:val="8"/>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80" w:type="dxa"/>
            <w:vAlign w:val="bottom"/>
            <w:gridSpan w:val="20"/>
            <w:shd w:val="clear" w:color="auto" w:fill="CCEEFF"/>
          </w:tcPr>
          <w:p>
            <w:pPr>
              <w:spacing w:after="0"/>
              <w:rPr>
                <w:sz w:val="16"/>
                <w:szCs w:val="16"/>
                <w:color w:val="auto"/>
              </w:rPr>
            </w:pP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5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6480" w:type="dxa"/>
            <w:vAlign w:val="bottom"/>
            <w:gridSpan w:val="20"/>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S-19</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 OFFERED</w:t>
            </w: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3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UNDERWRITING</w:t>
            </w:r>
          </w:p>
        </w:tc>
        <w:tc>
          <w:tcPr>
            <w:tcW w:w="4720" w:type="dxa"/>
            <w:vAlign w:val="bottom"/>
            <w:gridSpan w:val="6"/>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S-24</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 TO INVESTORS</w:t>
            </w: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9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TAXATION</w:t>
            </w:r>
          </w:p>
        </w:tc>
        <w:tc>
          <w:tcPr>
            <w:tcW w:w="6100" w:type="dxa"/>
            <w:vAlign w:val="bottom"/>
            <w:gridSpan w:val="18"/>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S-34</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MATERIAL CHANGES</w:t>
            </w:r>
          </w:p>
        </w:tc>
        <w:tc>
          <w:tcPr>
            <w:tcW w:w="6260" w:type="dxa"/>
            <w:vAlign w:val="bottom"/>
            <w:gridSpan w:val="19"/>
            <w:shd w:val="clear" w:color="auto" w:fill="CCEEFF"/>
          </w:tcPr>
          <w:p>
            <w:pPr>
              <w:spacing w:after="0"/>
              <w:rPr>
                <w:sz w:val="16"/>
                <w:szCs w:val="16"/>
                <w:color w:val="auto"/>
              </w:rPr>
            </w:pP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S-45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S-45</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S-46</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1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2900" w:type="dxa"/>
            <w:vAlign w:val="bottom"/>
            <w:gridSpan w:val="2"/>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S-47</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S-48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06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300" w:type="dxa"/>
            <w:vAlign w:val="bottom"/>
            <w:gridSpan w:val="7"/>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3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MARKET, INDUSTRY AND OTHER DATA</w:t>
            </w:r>
          </w:p>
        </w:tc>
        <w:tc>
          <w:tcPr>
            <w:tcW w:w="4740" w:type="dxa"/>
            <w:vAlign w:val="bottom"/>
            <w:gridSpan w:val="7"/>
            <w:shd w:val="clear" w:color="auto" w:fill="CCEEFF"/>
          </w:tcPr>
          <w:p>
            <w:pPr>
              <w:spacing w:after="0"/>
              <w:rPr>
                <w:sz w:val="16"/>
                <w:szCs w:val="16"/>
                <w:color w:val="auto"/>
              </w:rPr>
            </w:pP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NANOBIOTIX S.A.</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580" w:type="dxa"/>
            <w:vAlign w:val="bottom"/>
            <w:gridSpan w:val="21"/>
          </w:tcPr>
          <w:p>
            <w:pPr>
              <w:spacing w:after="0"/>
              <w:rPr>
                <w:sz w:val="16"/>
                <w:szCs w:val="16"/>
                <w:color w:val="auto"/>
              </w:rPr>
            </w:pP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80" w:type="dxa"/>
            <w:vAlign w:val="bottom"/>
            <w:gridSpan w:val="20"/>
            <w:shd w:val="clear" w:color="auto" w:fill="CCEEFF"/>
          </w:tcPr>
          <w:p>
            <w:pPr>
              <w:spacing w:after="0"/>
              <w:rPr>
                <w:sz w:val="16"/>
                <w:szCs w:val="16"/>
                <w:color w:val="auto"/>
              </w:rPr>
            </w:pP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340" w:type="dxa"/>
            <w:vAlign w:val="bottom"/>
            <w:gridSpan w:val="8"/>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80" w:type="dxa"/>
            <w:vAlign w:val="bottom"/>
            <w:gridSpan w:val="14"/>
            <w:shd w:val="clear" w:color="auto" w:fill="CCEEFF"/>
          </w:tcPr>
          <w:p>
            <w:pPr>
              <w:spacing w:after="0"/>
              <w:rPr>
                <w:sz w:val="16"/>
                <w:szCs w:val="16"/>
                <w:color w:val="auto"/>
              </w:rPr>
            </w:pPr>
          </w:p>
        </w:tc>
        <w:tc>
          <w:tcPr>
            <w:tcW w:w="340" w:type="dxa"/>
            <w:vAlign w:val="bottom"/>
            <w:gridSpan w:val="8"/>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340" w:type="dxa"/>
            <w:vAlign w:val="bottom"/>
            <w:gridSpan w:val="8"/>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SHAREHOLDER</w:t>
            </w:r>
          </w:p>
        </w:tc>
        <w:tc>
          <w:tcPr>
            <w:tcW w:w="340" w:type="dxa"/>
            <w:vAlign w:val="bottom"/>
            <w:gridSpan w:val="8"/>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1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5960" w:type="dxa"/>
            <w:vAlign w:val="bottom"/>
            <w:gridSpan w:val="16"/>
          </w:tcPr>
          <w:p>
            <w:pPr>
              <w:spacing w:after="0"/>
              <w:rPr>
                <w:sz w:val="16"/>
                <w:szCs w:val="16"/>
                <w:color w:val="auto"/>
              </w:rPr>
            </w:pPr>
          </w:p>
        </w:tc>
        <w:tc>
          <w:tcPr>
            <w:tcW w:w="340" w:type="dxa"/>
            <w:vAlign w:val="bottom"/>
            <w:gridSpan w:val="8"/>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4860" w:type="dxa"/>
            <w:vAlign w:val="bottom"/>
            <w:gridSpan w:val="11"/>
            <w:shd w:val="clear" w:color="auto" w:fill="CCEEFF"/>
          </w:tcPr>
          <w:p>
            <w:pPr>
              <w:spacing w:after="0"/>
              <w:rPr>
                <w:sz w:val="16"/>
                <w:szCs w:val="16"/>
                <w:color w:val="auto"/>
              </w:rPr>
            </w:pPr>
          </w:p>
        </w:tc>
        <w:tc>
          <w:tcPr>
            <w:tcW w:w="340" w:type="dxa"/>
            <w:vAlign w:val="bottom"/>
            <w:gridSpan w:val="8"/>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TAXATION</w:t>
            </w:r>
          </w:p>
        </w:tc>
        <w:tc>
          <w:tcPr>
            <w:tcW w:w="4860" w:type="dxa"/>
            <w:vAlign w:val="bottom"/>
            <w:gridSpan w:val="11"/>
          </w:tcPr>
          <w:p>
            <w:pPr>
              <w:spacing w:after="0"/>
              <w:rPr>
                <w:sz w:val="16"/>
                <w:szCs w:val="16"/>
                <w:color w:val="auto"/>
              </w:rPr>
            </w:pPr>
          </w:p>
        </w:tc>
        <w:tc>
          <w:tcPr>
            <w:tcW w:w="340" w:type="dxa"/>
            <w:vAlign w:val="bottom"/>
            <w:gridSpan w:val="8"/>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8"/>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20" w:type="dxa"/>
            <w:vAlign w:val="bottom"/>
            <w:gridSpan w:val="22"/>
          </w:tcPr>
          <w:p>
            <w:pPr>
              <w:spacing w:after="0"/>
              <w:rPr>
                <w:sz w:val="16"/>
                <w:szCs w:val="16"/>
                <w:color w:val="auto"/>
              </w:rPr>
            </w:pPr>
          </w:p>
        </w:tc>
        <w:tc>
          <w:tcPr>
            <w:tcW w:w="340" w:type="dxa"/>
            <w:vAlign w:val="bottom"/>
            <w:gridSpan w:val="8"/>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gridSpan w:val="8"/>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40" w:type="dxa"/>
            <w:vAlign w:val="bottom"/>
            <w:gridSpan w:val="8"/>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340" w:type="dxa"/>
            <w:vAlign w:val="bottom"/>
            <w:gridSpan w:val="8"/>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shd w:val="clear" w:color="auto" w:fill="CCEEFF"/>
          </w:tcPr>
          <w:p>
            <w:pPr>
              <w:spacing w:after="0"/>
              <w:rPr>
                <w:sz w:val="16"/>
                <w:szCs w:val="16"/>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90"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supplement, the accompanying prospectus or in any free writing prospectus prepared by or on behalf of us to which we have referred you. We take no responsibility for, and provide no assurances as to the reliability of, any other information that others may give you.</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F-3 that we filed with the Securities and Exchange Commission (the “SEC”), using a “shelf” registration process and consists of two parts. The first part is this prospectus supplement, including the documents incorporated by reference, which describes the specific terms of this offering and also adds to and updates information contained in the accompanying prospectus. The second part, the accompanying prospectus, including the documents incorporated by reference, gives more general information, some of which may not be applicable to this offering. Generally, when we refer to the “prospectus” we are referring to both parts combined.</w:t>
      </w:r>
    </w:p>
    <w:p>
      <w:pPr>
        <w:spacing w:after="0" w:line="8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If any statement in this prospectus supplement or the accompanying prospectus is inconsistent with a statement in another document that is incorporated by reference into this prospectus and having a later date, the statement in the document having the later date modifies or supersedes the earlier statement. This prospectus supplement, the accompanying prospectus and the documents incorporated by reference into each include important information about us, the securities being offered and other information that you should know before investing in our securities. You should also read and consider information in the documents we have referred you to in the sections of this prospectus supplement and the accompanying prospectus entitled “Incorporation of Certain Information by Reference” and “Where You Can Find Additional Information.”</w:t>
      </w:r>
    </w:p>
    <w:p>
      <w:pPr>
        <w:spacing w:after="0" w:line="86"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securities. Our business, financial condition, liquidity, results of operations and prospects may have changed since those dates.</w:t>
      </w:r>
    </w:p>
    <w:p>
      <w:pPr>
        <w:spacing w:after="0" w:line="75"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In such instances, such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sections entitled “Incorporation of Certain Information by Reference” and “Where You Can Find Additional Information.”</w:t>
      </w:r>
    </w:p>
    <w:p>
      <w:pPr>
        <w:spacing w:after="0" w:line="7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7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We are not making offers to sell or solicitations of offers to buy our securities in any jurisdiction in which an offer or solicitation is not permitted or in which the person making that offer or solicitation is not qualified to do so or to anyone to whom it is unlawful to make an offer or solicitation.</w:t>
      </w:r>
    </w:p>
    <w:p>
      <w:pPr>
        <w:spacing w:after="0" w:line="64" w:lineRule="exact"/>
        <w:rPr>
          <w:sz w:val="20"/>
          <w:szCs w:val="20"/>
          <w:color w:val="auto"/>
        </w:rPr>
      </w:pPr>
    </w:p>
    <w:p>
      <w:pPr>
        <w:ind w:left="300" w:right="339"/>
        <w:spacing w:after="0" w:line="278" w:lineRule="auto"/>
        <w:rPr>
          <w:sz w:val="20"/>
          <w:szCs w:val="20"/>
          <w:color w:val="auto"/>
        </w:rPr>
      </w:pPr>
      <w:r>
        <w:rPr>
          <w:rFonts w:ascii="Times New Roman" w:cs="Times New Roman" w:eastAsia="Times New Roman" w:hAnsi="Times New Roman"/>
          <w:sz w:val="17"/>
          <w:szCs w:val="17"/>
          <w:b w:val="1"/>
          <w:bCs w:val="1"/>
          <w:color w:val="auto"/>
        </w:rPr>
        <w:t>For investors outside the United States: We have not done anything that would permit this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60" w:lineRule="exact"/>
        <w:rPr>
          <w:sz w:val="20"/>
          <w:szCs w:val="20"/>
          <w:color w:val="auto"/>
        </w:rPr>
      </w:pPr>
    </w:p>
    <w:p>
      <w:pPr>
        <w:ind w:left="300" w:right="699"/>
        <w:spacing w:after="0" w:line="312"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references in this prospectus supplement to “Nanobiotix,” “the Company,” “we,” “us,” and “our” refer to Nanobiotix S.A. and its consolidated subsidiaries.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Accounting Standards as issued by the International Accounting Standards Board (“IASB”). Our financial statements are presented in euros and, unless otherwise specified, all monetary amounts printed in this prospectus are in euros.</w:t>
      </w:r>
    </w:p>
    <w:p>
      <w:pPr>
        <w:spacing w:after="0" w:line="68" w:lineRule="exact"/>
        <w:rPr>
          <w:sz w:val="20"/>
          <w:szCs w:val="20"/>
          <w:color w:val="auto"/>
        </w:rPr>
      </w:pPr>
    </w:p>
    <w:p>
      <w:pPr>
        <w:ind w:left="300" w:right="419"/>
        <w:spacing w:after="0" w:line="277" w:lineRule="auto"/>
        <w:rPr>
          <w:sz w:val="20"/>
          <w:szCs w:val="20"/>
          <w:color w:val="auto"/>
        </w:rPr>
      </w:pPr>
      <w:r>
        <w:rPr>
          <w:rFonts w:ascii="Times New Roman" w:cs="Times New Roman" w:eastAsia="Times New Roman" w:hAnsi="Times New Roman"/>
          <w:sz w:val="17"/>
          <w:szCs w:val="17"/>
          <w:color w:val="auto"/>
        </w:rPr>
        <w:t>All references in this prospectus supplement to “$” and “U.S. dollars” mean U.S. dollars and all references to “€” and “euros” mean euros, unless otherwise noted. In various places throughout this prospectus supplement, we show financial amounts in both U.S. dollars and euros. Unless otherwise noted, these translations, which are provided solely for convenience, are made at the exchange rate of €1.00 = $1.1736, the exchange rate as of December 31, 2025, as shown in the H.10 weekly release published by the U.S. Federal Reserve Board on January 5, 2026.</w:t>
      </w:r>
    </w:p>
    <w:p>
      <w:pPr>
        <w:spacing w:after="0" w:line="60"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Throughout this prospectus supplement, references to ADSs mean ADSs or ordinary shares represented by such ADSs, as the case may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contain “forward-looking statements” within the meaning of applicable federal securities laws, including Section 27A of the Securities Act of 1933, as amended (the “Securities Act”) and Section 21E of the Exchange Act, and the Private Securities Litigation Reform Act of 1995. All statements other than present and historical facts and conditions contained in this prospectus supplement, the accompanying prospectus and the documents incorporated by reference, including statements regarding our future results of operations and financial position, business strategy, plans and our objectives for future operations, are forward-looking statements. These forward-looking statements are subject to numerous risks and uncertainties and are made in light of information currently available to us. When used in this prospectus supplement, the accompanying prospectus and the documents incorporated by reference, the words “consider,” “anticipate,” “think,“ “aim,” “believe,” “can,” “could,” “ambition,“ “estimate,” “expect,” “intend,” “is designed to,” “wish,” “may,” “is designated to,” “might,” “on track,” “plan,” “potential,” “predict,” “objective,” “should,” “scheduled,” “would,” “will,” or the negative of these and similar expressions identify forward-looking statements.</w:t>
      </w:r>
    </w:p>
    <w:p>
      <w:pPr>
        <w:spacing w:after="0" w:line="7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Such statements are subject to risks and uncertainties, and actual results may differ materially from those expressed or implied in the forward-looking statements due to various factors, including, but not limited to, those identified under the caption “Risk Factors” in this prospectus supplement, the accompanying prospectus and the documents incorporated by reference. These risks and uncertainties include factors relating to:</w:t>
      </w:r>
    </w:p>
    <w:p>
      <w:pPr>
        <w:spacing w:after="0" w:line="72" w:lineRule="exact"/>
        <w:rPr>
          <w:sz w:val="20"/>
          <w:szCs w:val="20"/>
          <w:color w:val="auto"/>
        </w:rPr>
      </w:pPr>
    </w:p>
    <w:p>
      <w:pPr>
        <w:ind w:left="1000" w:right="419" w:hanging="348"/>
        <w:spacing w:after="0" w:line="25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Janssen Pharmaceutica NV (“Janssen”) to conduct the JNJ-1900 (product candidate formerly coded NBTXR3) development and commercialization activities worldwide in accordance with the License Agreement with Janssen, dated July 7, 2023 (the “Janssen Agreement”) and the License, Development and Commercialization Agreement dated May 11, 2021 and novated by the former licensee LianBio Oncology Limited (“LianBio”) in December 2023 to Janssen (the “Asia Licensing Agreement”);</w:t>
      </w:r>
    </w:p>
    <w:p>
      <w:pPr>
        <w:spacing w:after="0" w:line="75"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timeline of JNJ-1900 clinical trial completion, including our ability as sponsor of the ongoing clinical trial 1100;</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Janssen (or any of its affiliates) as sponsor of clinical trial NANORAY-312 to successfully conduct, supervise and monitor the concerned clinical trials and particularly for Janssen to complete clinical trial NANORAY-312 within the expected timeline considering a number of factors which may cause any significant delay, including the rate of patient enrollment or any protocol amendment submitted by the sponsor from time to time;</w:t>
      </w:r>
    </w:p>
    <w:p>
      <w:pPr>
        <w:spacing w:after="0" w:line="75"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timing of key clinical and regulatory milestones enabling us to receive payments under the Janssen Agreement;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Janssen’s ability to satisfy regulatory requirements and, if successful, to maintain regulatory approvals and certifications for JNJ-1900 according to the Janssen Agreement;</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the condition precedent to obtain the future $21 million in additional payment under the royalty financing agreement signed in October 2025 with HealthCare Royalty Partners;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1" w:lineRule="auto"/>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early repayment required by the European Investment Bank (the “EIB”) in case of an event of default with respect to Nanobiotix’s or its subsidiaries’ commitments under the EIB loan, or in connection with the occurrence of a cross-default based on any breach of any representation, warranty or covenant made by Nanobiotix in the royalty financing agreement signed in October 2025 with HealthCare Royalty Partners;</w:t>
      </w:r>
    </w:p>
    <w:p>
      <w:pPr>
        <w:spacing w:after="0" w:line="56" w:lineRule="exact"/>
        <w:rPr>
          <w:rFonts w:ascii="Times New Roman" w:cs="Times New Roman" w:eastAsia="Times New Roman" w:hAnsi="Times New Roman"/>
          <w:sz w:val="17"/>
          <w:szCs w:val="17"/>
          <w:color w:val="auto"/>
        </w:rPr>
      </w:pPr>
    </w:p>
    <w:p>
      <w:pPr>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those trials to be conducted or being initiated under our collaborations with MD Anderson Cancer Center of the University of Texas (“MD Anderson”) and with Janssen under the Janssen Agreement;</w:t>
      </w:r>
    </w:p>
    <w:p>
      <w:pPr>
        <w:spacing w:after="0" w:line="6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raw resources and maintain and operate our facilities to manufacture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strategic plan, beyond the JNJ-1900 (NBTXR3) product candidate, for our platform(s), product candidates and technology, including to expand into additional innovative therapies, including through our Nanoprimer platform, and to advance such technologies directly or through collaboration agreements;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under our collaboration agreements, including the Janssen Agreement, the Asia Licensing Agreement and under our financing agreements, including the royalty financing agreement signed in October 2025 with HealthCare Royalty Partners, and to effectively resolve disputes, if any;</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and other qualified personnel;</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 rights, manufacturing know-how and proprietary technologies and our ability to operate our business without infringing upon the intellectual property rights and proprietary technologies of third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capital resources;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expenses, capital expenditures, capital requirements and performance of our publicly traded equity securities;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foreign private issuer and the reduced disclosure requirements associated with maintaining this status;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in this prospectus supplement, the accompanying prospectus and the documents incorporated by reference.</w:t>
      </w:r>
    </w:p>
    <w:p>
      <w:pPr>
        <w:spacing w:after="0" w:line="5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As a result of these factors, we cannot assure you that the forward-looking statements in this prospectus supplement, the accompanying prospectus and the documents incorporated by reference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supplement, the accompanying prospectus and the documents incorporated by reference,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them.</w:t>
      </w:r>
    </w:p>
    <w:p>
      <w:pPr>
        <w:spacing w:after="0" w:line="79"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Many important factors, in addition to the factors described in this prospectus supplement and the accompanying prospectus, which may adversely affect such forward-looking statements are set forth in Part I, Item 3.D. (“Risk Factors”) of our Annual Report on Form 20-F for the year ended December 31, 2025 (the “Annual Report”), as updated by our subsequent Reports on Form 6-K and the other documents incorporated by reference in this prospectus supplement and the accompanying prospectus. See “Where You Can Find Additional Information” and “Incorporation of Certain Information by Reference.” Many of these risks, uncertainties and assumptions are beyond our control, and may cause our actual results and performance to differ materially from our expectations. Accordingly, you should not place undue reliance on any forward-looking statements contained or incorporated by reference in this prospectus supplement, the accompanying prospectus and the documents incorporated by reference.</w:t>
      </w:r>
    </w:p>
    <w:p>
      <w:pPr>
        <w:spacing w:after="0" w:line="65"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we incorporate by reference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jc w:val="both"/>
        <w:ind w:left="320" w:right="319"/>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This summary is not complete and may not contain all of the information that is important to you. We encourage you to read this prospectus supplement and the accompanying prospectus, including any information incorporated by reference into this prospectus supplement and the accompanying prospectus, in their entirety.</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359"/>
        <w:spacing w:after="0" w:line="255" w:lineRule="auto"/>
        <w:rPr>
          <w:sz w:val="20"/>
          <w:szCs w:val="20"/>
          <w:color w:val="auto"/>
        </w:rPr>
      </w:pPr>
      <w:r>
        <w:rPr>
          <w:rFonts w:ascii="Times New Roman" w:cs="Times New Roman" w:eastAsia="Times New Roman" w:hAnsi="Times New Roman"/>
          <w:sz w:val="18"/>
          <w:szCs w:val="18"/>
          <w:color w:val="auto"/>
        </w:rPr>
        <w:t>We are a late-stage clinical biotechnology company focused on re-inventing medicine by building new therapies atom by atom, developing widely applicable, first-in-class, physics-based nanotherapeutics to transform treatment outcomes and expand life for millions of patients. The physics-based nanotherapeutics we create are potentially universally applicable across patient populations, rather than targeted to impact a specific biological pathway in a particular patient. The objective of this physics-based approach is to allow our nanoparticles to be combined with other drugs or therapeutic modalities and to integrate seamlessly into clinical practice without adding burden for the patient, healthcare provider, or healthcare system.</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three platforms that each seek to bring the benefits of nanotechnology to human medical problems:</w:t>
      </w:r>
    </w:p>
    <w:p>
      <w:pPr>
        <w:spacing w:after="0" w:line="117" w:lineRule="exact"/>
        <w:rPr>
          <w:sz w:val="20"/>
          <w:szCs w:val="20"/>
          <w:color w:val="auto"/>
        </w:rPr>
      </w:pPr>
    </w:p>
    <w:p>
      <w:pPr>
        <w:ind w:left="1020" w:right="9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Nanoradioenhancer platform: designed to increase the tumor-killing effect of radiotherapy without increasing the dose in surrounding healthy tissues;</w:t>
      </w:r>
    </w:p>
    <w:p>
      <w:pPr>
        <w:spacing w:after="0" w:line="53" w:lineRule="exact"/>
        <w:rPr>
          <w:rFonts w:ascii="Times New Roman" w:cs="Times New Roman" w:eastAsia="Times New Roman" w:hAnsi="Times New Roman"/>
          <w:sz w:val="18"/>
          <w:szCs w:val="18"/>
          <w:color w:val="auto"/>
        </w:rPr>
      </w:pPr>
    </w:p>
    <w:p>
      <w:pPr>
        <w:ind w:left="1020" w:right="7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Nanoprimer platform: designed to unleash the potential of innovative systemic therapeutic classes by enabling effective extrahepatic delivery;</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Neurological disease platform: designed to overcome the symptoms of debilitating neurological conditions by re-wiring the brain.</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Lead Product Candidate - JNJ-1900 (NBTXR3)</w:t>
      </w:r>
    </w:p>
    <w:p>
      <w:pPr>
        <w:spacing w:after="0" w:line="121" w:lineRule="exact"/>
        <w:rPr>
          <w:sz w:val="20"/>
          <w:szCs w:val="20"/>
          <w:color w:val="auto"/>
        </w:rPr>
      </w:pPr>
    </w:p>
    <w:p>
      <w:pPr>
        <w:ind w:left="320" w:right="299"/>
        <w:spacing w:after="0" w:line="254" w:lineRule="auto"/>
        <w:rPr>
          <w:sz w:val="20"/>
          <w:szCs w:val="20"/>
          <w:color w:val="auto"/>
        </w:rPr>
      </w:pPr>
      <w:r>
        <w:rPr>
          <w:rFonts w:ascii="Times New Roman" w:cs="Times New Roman" w:eastAsia="Times New Roman" w:hAnsi="Times New Roman"/>
          <w:sz w:val="18"/>
          <w:szCs w:val="18"/>
          <w:color w:val="auto"/>
        </w:rPr>
        <w:t>Our Nanoradioenhancer platform, which is the most advanced, has produced lead product candidate JNJ-1900 (NBTXR3). Whereas most oncology drug development is focused on highly segmented patient populations with late-stage or metastatic cancer (which we estimate represents approximately 23% of patients), we designed JNJ-1900 (NBTXR3) to address specific unmet medical needs of patients rather than designing our product specifically for targets across lines of therapy. With 20 million new cancer diagnoses around the world each year, we believe JNJ-1900 (NBTXR3) could significantly improve the prognosis for the up to 12 million patients receiving radiation therapy each year and, thereby, position us for the ability to capture one of the largest untapped markets in oncology. In the United States and the five most populous EU member states (the “EU5”), a large population of cancer patients share a significant unmet medical need for local treatment.</w:t>
      </w:r>
    </w:p>
    <w:p>
      <w:pPr>
        <w:spacing w:after="0" w:line="80" w:lineRule="exact"/>
        <w:rPr>
          <w:sz w:val="20"/>
          <w:szCs w:val="20"/>
          <w:color w:val="auto"/>
        </w:rPr>
      </w:pPr>
    </w:p>
    <w:p>
      <w:pPr>
        <w:ind w:left="320" w:right="319"/>
        <w:spacing w:after="0" w:line="267" w:lineRule="auto"/>
        <w:rPr>
          <w:sz w:val="20"/>
          <w:szCs w:val="20"/>
          <w:color w:val="auto"/>
        </w:rPr>
      </w:pPr>
      <w:r>
        <w:rPr>
          <w:rFonts w:ascii="Times New Roman" w:cs="Times New Roman" w:eastAsia="Times New Roman" w:hAnsi="Times New Roman"/>
          <w:sz w:val="17"/>
          <w:szCs w:val="17"/>
          <w:color w:val="auto"/>
        </w:rPr>
        <w:t>We believe that JNJ-1900 (NBTXR3) represents a potential multi-billion dollar commercial opportunity. The product candidate’s first three indications alone, (i) locally advanced head and neck cancer in patients ineligible for chemotherapy, (ii) locally advanced head and neck cancer in cisplatin-eligible patients, and (iii) stage 3 unresectable non-small cell lung cancer (“NSCLC”), offer a potential path to registration and collectively address an estimated addressable patient population of more than 160,000 patients in North America and the EU5 combined, with significantly more patient opportunity in the rest of the world. Specifically, the cisplatin-ineligible head and neck population represents approximately 10,000 patients in North America and 12,000 in the EU5; the cisplatin-eligible head and neck population represents approximately 28,000 patients in North America and 32,000 in the EU5; and the stage 3 NSCLC population represents approximately 36,000 patients in North America and 56,000 in the EU5. Beyond these initial indications, JNJ-1900 (NBTXR3) has demonstrated established feasibility and safety in Phase 1 and Phase 2 clinical trials across multiple additional tumor types, including rectal cancer (approximately 22,000 patients in North America, 32,000 in the EU5), liver cancer (approximately 2,200 in North America, 2,500 in the EU5), recurrent or metastatic head and neck cancer (approximately 6,200 in North America, 6,700 in the EU5), pancreatic cancer (approximately 7,000 in North America, 8,000 in the EU5), melanoma (approximately 16,000 in North America, 24,000 in the EU5), esophageal cancer (approximately 1,500 in North America, 2,000 in the EU5), and stage IV lung cancer (more than 150,000 in North America, more than 140,000 in the EU5). Additional indications of interest include prostate cancer, breast cancer, and glioblastoma. Our management estimates that the average pricing for innovative oncology drugs ranges from $100,000 to $200,000 per patient. Given the broad applicability potential of JNJ-1900 (NBTXR3) across solid tumors and the significant unmet medical need in these patient populations, we believe the total potential addressable market for JNJ-1900 (NBTXR3) is substantial.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42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spacing w:after="0" w:line="256" w:lineRule="auto"/>
        <w:rPr>
          <w:sz w:val="20"/>
          <w:szCs w:val="20"/>
          <w:color w:val="auto"/>
        </w:rPr>
      </w:pPr>
      <w:r>
        <w:rPr>
          <w:rFonts w:ascii="Times New Roman" w:cs="Times New Roman" w:eastAsia="Times New Roman" w:hAnsi="Times New Roman"/>
          <w:sz w:val="18"/>
          <w:szCs w:val="18"/>
          <w:color w:val="auto"/>
        </w:rPr>
        <w:t>Potential first-in-class nanoradioenhancer JNJ-1900 (NBTXR3) was developed through our explorations of the potential for nanotechnologies to provide solutions to unmet therapeutic needs in oncology. It is a sterile aqueous suspension of functionalized, crystalline hafnium oxide nanoparticles that is administered in a single procedure through a one-time image-guided local injection directly into the tumor prior to the course of radiotherapy which are then activated by radiotherapy (RT-activated JNJ-1900 (NBTXR3)). Our approach is designed to enable a single procedure and one-time injection is all that is needed for the entire course of radiotherapy. JNJ-1900 (NBTXR3) is designed to be easily incorporated into the current standard of care in radiotherapy. Hospitals and medical facilities where radiotherapy is delivered do not need any new equipment or to otherwise make significant capital investments in new technology in order to treat patients with JNJ-1900 (NBTXR3).</w:t>
      </w:r>
    </w:p>
    <w:p>
      <w:pPr>
        <w:spacing w:after="0" w:line="51" w:lineRule="exact"/>
        <w:rPr>
          <w:sz w:val="20"/>
          <w:szCs w:val="20"/>
          <w:color w:val="auto"/>
        </w:rPr>
      </w:pPr>
    </w:p>
    <w:p>
      <w:pPr>
        <w:ind w:left="320" w:right="379"/>
        <w:spacing w:after="0" w:line="259" w:lineRule="auto"/>
        <w:rPr>
          <w:sz w:val="20"/>
          <w:szCs w:val="20"/>
          <w:color w:val="auto"/>
        </w:rPr>
      </w:pPr>
      <w:r>
        <w:rPr>
          <w:rFonts w:ascii="Times New Roman" w:cs="Times New Roman" w:eastAsia="Times New Roman" w:hAnsi="Times New Roman"/>
          <w:sz w:val="18"/>
          <w:szCs w:val="18"/>
          <w:color w:val="auto"/>
        </w:rPr>
        <w:t>Given the potential broad applicability of JNJ-1900 (NBTXR3) across solid tumors, we have engaged in a licensing agreement and strategic collaborations with large and reputable partners to expand, and hopefully accelerate, development of the product candidate. In December 2018, we entered into a broad comprehensive clinical research collaboration with MD Anderson to sponsor several Phase 1 and Phase 2 studies in the United States to evaluate JNJ-1900 (NBTXR3) across tumor types and therapeutic combinations, with expected enrollment of more than 300 patients across these clinical trials.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July 2023, we entered into the Janssen Agreement with Janssen, a Johnson &amp; Johnson (“J&amp;J”) company. In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December 2023, the exclusive rights to develop and commercialize JNJ-1900 (NBTXR3) in the Asia Licensing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Territory (as defined in the Asia Licensing Agreement) were novated by LianBio to J&amp;J in accordance with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terms of the Asia Licensing Agreement. Pursuant to the Janssen Agreement, we are eligible to receive up to</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 billion of potential milestone payments, including eligibility to receive up to approximately $200 million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potential development, regulatory, and sales milestone payments related to the first two programs (cisplatin-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ineligible head and neck cancer and stage 3 unresectable lung cancer) in the next few years, with subsequent</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payments related to these first two programs and potential new indications that may be developed by Janssen. In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 pursuant to the Janssen Agreement, we are eligible to receive potential development, regulatory, and sales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milestone payments of up to $220 million per new indication that may be developed by the Company. Following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commercialization of JNJ-1900 (NBTXR3), we will also be eligible under the Janssen Agreement to receive tiered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double-digit royalties (low 10s to low 20s) on net sales of JNJ-1900 (NBTXR3).</w:t>
      </w:r>
    </w:p>
    <w:p>
      <w:pPr>
        <w:spacing w:after="0" w:line="85" w:lineRule="exact"/>
        <w:rPr>
          <w:sz w:val="20"/>
          <w:szCs w:val="20"/>
          <w:color w:val="auto"/>
        </w:rPr>
      </w:pPr>
    </w:p>
    <w:p>
      <w:pPr>
        <w:ind w:left="320" w:right="339"/>
        <w:spacing w:after="0" w:line="258" w:lineRule="auto"/>
        <w:rPr>
          <w:sz w:val="20"/>
          <w:szCs w:val="20"/>
          <w:color w:val="auto"/>
        </w:rPr>
      </w:pPr>
      <w:r>
        <w:rPr>
          <w:rFonts w:ascii="Times New Roman" w:cs="Times New Roman" w:eastAsia="Times New Roman" w:hAnsi="Times New Roman"/>
          <w:sz w:val="18"/>
          <w:szCs w:val="18"/>
          <w:color w:val="auto"/>
        </w:rPr>
        <w:t>In addition, pursuant to the Asia Licensing Agreement, we may receive from Janssen up to $205 million in potential payments upon the achievement of certain development and sales milestones, as well as tiered, low double-digit royalties based on net sales of JNJ-1900 (NBTXR3) in the Asia Licensing Territory.</w:t>
      </w: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JNJ-1900 (NBTXR3) Development Pipeline</w:t>
      </w:r>
    </w:p>
    <w:p>
      <w:pPr>
        <w:spacing w:after="0" w:line="94" w:lineRule="exact"/>
        <w:rPr>
          <w:sz w:val="20"/>
          <w:szCs w:val="20"/>
          <w:color w:val="auto"/>
        </w:rPr>
      </w:pPr>
    </w:p>
    <w:p>
      <w:pPr>
        <w:ind w:left="320" w:right="579"/>
        <w:spacing w:after="0" w:line="282" w:lineRule="auto"/>
        <w:rPr>
          <w:sz w:val="20"/>
          <w:szCs w:val="20"/>
          <w:color w:val="auto"/>
        </w:rPr>
      </w:pPr>
      <w:r>
        <w:rPr>
          <w:rFonts w:ascii="Times New Roman" w:cs="Times New Roman" w:eastAsia="Times New Roman" w:hAnsi="Times New Roman"/>
          <w:sz w:val="18"/>
          <w:szCs w:val="18"/>
          <w:color w:val="auto"/>
        </w:rPr>
        <w:t>The chart below highlights ongoing clinical trials, including those trials which are in our collaborations with J&amp;J companies or MD Anderson.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61" w:lineRule="exact"/>
        <w:rPr>
          <w:sz w:val="20"/>
          <w:szCs w:val="20"/>
          <w:color w:val="auto"/>
        </w:rPr>
      </w:pPr>
    </w:p>
    <w:p>
      <w:pPr>
        <w:ind w:left="660" w:right="379" w:hanging="350"/>
        <w:spacing w:after="0" w:line="261"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Johnson &amp; Johnson Enterprise Innovation Inc. is reported on www.clinicaltrials.gov as the Operational Sponsor for trials identified here as sponsored by J&amp;J.</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73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next few years, we anticipate multiple events in respect of our JNJ-1900 (NBTXR3) pipeline, including:</w:t>
      </w:r>
    </w:p>
    <w:p>
      <w:pPr>
        <w:spacing w:after="0" w:line="142"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34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Guidance / Anticipated Timing</w:t>
            </w:r>
          </w:p>
        </w:tc>
        <w:tc>
          <w:tcPr>
            <w:tcW w:w="50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Anticipated Readout / Event</w:t>
            </w:r>
          </w:p>
        </w:tc>
      </w:tr>
      <w:tr>
        <w:trPr>
          <w:trHeight w:val="2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Phase 3 data in respect of NANORAY-312</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Early 2027</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Results from randomized part of CONVERGE</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2026 (completed)</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First patient recruited for LUMIRAY Phase 1b clinical trial of</w:t>
            </w: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cisplatin-eligible LA-HNSCC.</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2026-2027</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Advancement of various indications being studied by MD</w:t>
            </w: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Anderson</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Completion and data for Pancreatic PDAC/BRPC</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Updated data for Espohageal cancer</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Completion and data for NSCLC amenable to re-irradiation</w:t>
            </w: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18"/>
        </w:trPr>
        <w:tc>
          <w:tcPr>
            <w:tcW w:w="3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Study 1100 completion and data for locally advanced or metastatic</w:t>
            </w: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melanoma patients (subgroup from cohort 3)</w:t>
            </w:r>
          </w:p>
        </w:tc>
      </w:tr>
      <w:tr>
        <w:trPr>
          <w:trHeight w:val="40"/>
        </w:trPr>
        <w:tc>
          <w:tcPr>
            <w:tcW w:w="342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bl>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CONVERGE Data – NSCLC Patient Landscape and Positioning</w:t>
      </w:r>
    </w:p>
    <w:p>
      <w:pPr>
        <w:spacing w:after="0" w:line="119" w:lineRule="exact"/>
        <w:rPr>
          <w:sz w:val="20"/>
          <w:szCs w:val="20"/>
          <w:color w:val="auto"/>
        </w:rPr>
      </w:pPr>
    </w:p>
    <w:p>
      <w:pPr>
        <w:ind w:left="320" w:right="299"/>
        <w:spacing w:after="0" w:line="253" w:lineRule="auto"/>
        <w:rPr>
          <w:sz w:val="20"/>
          <w:szCs w:val="20"/>
          <w:color w:val="auto"/>
        </w:rPr>
      </w:pPr>
      <w:r>
        <w:rPr>
          <w:rFonts w:ascii="Times New Roman" w:cs="Times New Roman" w:eastAsia="Times New Roman" w:hAnsi="Times New Roman"/>
          <w:sz w:val="18"/>
          <w:szCs w:val="18"/>
          <w:color w:val="auto"/>
        </w:rPr>
        <w:t>Lung cancer is the most common cause of cancer death in the world, with NSCLC accounting for 80-85% of all lung cancer diagnoses and a five-year relative survival rate at all stages of only 28%. Of the approximately 490,000 NSCLC patients diagnosed annually in the United States and the EU5, approximately 40% (roughly 200,000 patients) present with local or locally advanced disease at diagnosis, while approximately 60% (roughly 290,000 patients) present with metastatic disease. Among those with local or locally advanced disease, approximately 46% (roughly 92,000 patients) have locally advanced unresectable tumors and are treated with chemoradiation followed by consolidation durvalumab—the current standard of care. Despite this treatment, outcomes remain challenging: approximately 31% of patients experience local failure and approximately 32% experience distant failure overall, with more than 300,000 patients across the United States and the EU5 ultimately progressing to recurrent or metastatic disease. CONVERGE is positioned to address this locally advanced unresectable stage 3 NSCLC population in the near term, and based on the tumor-agnostic physical mode of action of JNJ-1900 (NBTXR3), could potentially reach a significant proportion of the broader NSCLC population in the long term.</w:t>
      </w: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CONVERGE Data - ESTRO 2026</w:t>
      </w:r>
    </w:p>
    <w:p>
      <w:pPr>
        <w:spacing w:after="0" w:line="119" w:lineRule="exact"/>
        <w:rPr>
          <w:sz w:val="20"/>
          <w:szCs w:val="20"/>
          <w:color w:val="auto"/>
        </w:rPr>
      </w:pPr>
    </w:p>
    <w:p>
      <w:pPr>
        <w:ind w:left="320" w:right="439"/>
        <w:spacing w:after="0" w:line="256" w:lineRule="auto"/>
        <w:rPr>
          <w:sz w:val="20"/>
          <w:szCs w:val="20"/>
          <w:color w:val="auto"/>
        </w:rPr>
      </w:pPr>
      <w:r>
        <w:rPr>
          <w:rFonts w:ascii="Times New Roman" w:cs="Times New Roman" w:eastAsia="Times New Roman" w:hAnsi="Times New Roman"/>
          <w:sz w:val="18"/>
          <w:szCs w:val="18"/>
          <w:color w:val="auto"/>
        </w:rPr>
        <w:t>CONVERGE, which is sponsored by J&amp;J pursuant to the Janssen Agreement is an open-label, randomized Phase 2 clinical trial, evaluating JNJ-1900 (NBTXR3) for the treatment of patients with stage 3, NSCLC. The clinical trial will enroll up to 130 patients. Key inclusion criteria for CONVERGE, include eligibility for standard of care treatment of NSCLC by concurrent platinum-based doublet chemotherapy with radiation therapy, followed by consolidation durvalumab treatment, at least one target lesion (primary lung lesion or involved lymph node) that is amenable to intratumoral or intranodal injection, and an ECOG performance status between 0 to 1.</w:t>
      </w:r>
    </w:p>
    <w:p>
      <w:pPr>
        <w:spacing w:after="0" w:line="79" w:lineRule="exact"/>
        <w:rPr>
          <w:sz w:val="20"/>
          <w:szCs w:val="20"/>
          <w:color w:val="auto"/>
        </w:rPr>
      </w:pPr>
    </w:p>
    <w:p>
      <w:pPr>
        <w:ind w:left="320" w:right="359"/>
        <w:spacing w:after="0" w:line="254" w:lineRule="auto"/>
        <w:rPr>
          <w:sz w:val="20"/>
          <w:szCs w:val="20"/>
          <w:color w:val="auto"/>
        </w:rPr>
      </w:pPr>
      <w:r>
        <w:rPr>
          <w:rFonts w:ascii="Times New Roman" w:cs="Times New Roman" w:eastAsia="Times New Roman" w:hAnsi="Times New Roman"/>
          <w:sz w:val="18"/>
          <w:szCs w:val="18"/>
          <w:color w:val="auto"/>
        </w:rPr>
        <w:t>The trial consists of two parts. In part 1 of CONVERGE (the safety lead-in), all patients will receive JNJ-1900 (NBTXR3) injected intratumorally or intranodally, as applicable, along with standard of care chemoradiation followed by consolidation anti-PD-L1 therapy (durvalumab) at two dose levels: 22% and 33% of gross tumor volume. In part 2 of CONVERGE (the proof-of-concept portion), patients will be randomized 1:1:1 into three arms: JNJ-1900 (NBTXR3) at 22% of gross tumor volume plus chemoradiation followed by consolidation durvalumab, JNJ-1900 (NBTXR3) at 33% of gross tumor volume plus chemoradiation followed by consolidation durvalumab, and a control arm, in which participants will receive standard of care chemoradiation followed by durvalumab, without JNJ-1900 (NBTXR3). Part 2 is stratified by disease stage (3A vs. 3B) and PD-L1 expression (≤1% vs. &gt;1%).</w:t>
      </w:r>
    </w:p>
    <w:p>
      <w:pPr>
        <w:spacing w:after="0" w:line="80"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8"/>
          <w:szCs w:val="18"/>
          <w:color w:val="auto"/>
        </w:rPr>
        <w:t>The primary endpoint is the Objective Response Rate (“ORR”), using independent central review assessment per RECIST 1.1, while secondary endpoints include Progression-Free Survival (“PFS”), Disease Control Rate (“DCR”) and Duration of Response (“DoR”), ORR post-chemoradiotherapy and pre-consolidation immunotherapy, time to locoregional failure (“LRF”), time to distant failure (“DF”) and number of treatment-emergent adverse events (“TEAE”) related to treatment.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41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79419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first patient in CONVERGE was dosed in January 2025.</w:t>
      </w:r>
    </w:p>
    <w:p>
      <w:pPr>
        <w:spacing w:after="0" w:line="117" w:lineRule="exact"/>
        <w:rPr>
          <w:sz w:val="20"/>
          <w:szCs w:val="20"/>
          <w:color w:val="auto"/>
        </w:rPr>
      </w:pPr>
    </w:p>
    <w:p>
      <w:pPr>
        <w:jc w:val="both"/>
        <w:ind w:left="320" w:right="639"/>
        <w:spacing w:after="0" w:line="266" w:lineRule="auto"/>
        <w:rPr>
          <w:sz w:val="20"/>
          <w:szCs w:val="20"/>
          <w:color w:val="auto"/>
        </w:rPr>
      </w:pPr>
      <w:r>
        <w:rPr>
          <w:rFonts w:ascii="Times New Roman" w:cs="Times New Roman" w:eastAsia="Times New Roman" w:hAnsi="Times New Roman"/>
          <w:sz w:val="18"/>
          <w:szCs w:val="18"/>
          <w:color w:val="auto"/>
        </w:rPr>
        <w:t>On May 17, 2026, we announced the presentation of Part 1 data from CONVERGE in respect of seven patients presenting baseline characteristics set forth below at the 2026 European Society for Radiotherapy and Oncology Annual Meeting (ESTRO 2026).</w:t>
      </w:r>
    </w:p>
    <w:p>
      <w:pPr>
        <w:spacing w:after="0" w:line="93" w:lineRule="exact"/>
        <w:rPr>
          <w:sz w:val="20"/>
          <w:szCs w:val="20"/>
          <w:color w:val="auto"/>
        </w:rPr>
      </w:pPr>
    </w:p>
    <w:tbl>
      <w:tblPr>
        <w:tblLayout w:type="fixed"/>
        <w:tblInd w:w="310" w:type="dxa"/>
        <w:tblCellMar>
          <w:top w:w="0" w:type="dxa"/>
          <w:left w:w="0" w:type="dxa"/>
          <w:bottom w:w="0" w:type="dxa"/>
          <w:right w:w="0" w:type="dxa"/>
        </w:tblCellMar>
      </w:tblPr>
      <w:tr>
        <w:trPr>
          <w:trHeight w:val="292"/>
        </w:trPr>
        <w:tc>
          <w:tcPr>
            <w:tcW w:w="4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CONVERGE</w:t>
            </w:r>
          </w:p>
        </w:tc>
        <w:tc>
          <w:tcPr>
            <w:tcW w:w="420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N=7</w:t>
            </w:r>
          </w:p>
        </w:tc>
      </w:tr>
      <w:tr>
        <w:trPr>
          <w:trHeight w:val="273"/>
        </w:trPr>
        <w:tc>
          <w:tcPr>
            <w:tcW w:w="42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Age, median (range)</w:t>
            </w:r>
          </w:p>
        </w:tc>
        <w:tc>
          <w:tcPr>
            <w:tcW w:w="420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 (60-76)</w:t>
            </w:r>
          </w:p>
        </w:tc>
      </w:tr>
      <w:tr>
        <w:trPr>
          <w:trHeight w:val="237"/>
        </w:trPr>
        <w:tc>
          <w:tcPr>
            <w:tcW w:w="4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Sex, n (%)</w:t>
            </w:r>
          </w:p>
        </w:tc>
        <w:tc>
          <w:tcPr>
            <w:tcW w:w="140" w:type="dxa"/>
            <w:vAlign w:val="bottom"/>
            <w:tcBorders>
              <w:top w:val="single" w:sz="8" w:color="auto"/>
            </w:tcBorders>
          </w:tcPr>
          <w:p>
            <w:pPr>
              <w:spacing w:after="0"/>
              <w:rPr>
                <w:sz w:val="20"/>
                <w:szCs w:val="20"/>
                <w:color w:val="auto"/>
              </w:rPr>
            </w:pPr>
          </w:p>
        </w:tc>
        <w:tc>
          <w:tcPr>
            <w:tcW w:w="4060" w:type="dxa"/>
            <w:vAlign w:val="bottom"/>
            <w:tcBorders>
              <w:top w:val="single" w:sz="8" w:color="auto"/>
              <w:right w:val="single" w:sz="8" w:color="auto"/>
            </w:tcBorders>
          </w:tcPr>
          <w:p>
            <w:pPr>
              <w:spacing w:after="0"/>
              <w:rPr>
                <w:sz w:val="20"/>
                <w:szCs w:val="20"/>
                <w:color w:val="auto"/>
              </w:rPr>
            </w:pP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9"/>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Male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6</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(85.7)</w:t>
            </w:r>
          </w:p>
        </w:tc>
      </w:tr>
      <w:tr>
        <w:trPr>
          <w:trHeight w:val="236"/>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Female</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Race, n (%)</w:t>
            </w:r>
          </w:p>
        </w:tc>
        <w:tc>
          <w:tcPr>
            <w:tcW w:w="1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White</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3</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Black</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3</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(42.9)</w:t>
            </w: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Unknown</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9"/>
        </w:trPr>
        <w:tc>
          <w:tcPr>
            <w:tcW w:w="42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Smoking Status, n (%)</w:t>
            </w:r>
          </w:p>
        </w:tc>
        <w:tc>
          <w:tcPr>
            <w:tcW w:w="1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Former smoker</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6</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(85.7)</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smoker</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4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ECOG status, n (%)</w:t>
            </w:r>
          </w:p>
        </w:tc>
        <w:tc>
          <w:tcPr>
            <w:tcW w:w="140" w:type="dxa"/>
            <w:vAlign w:val="bottom"/>
            <w:tcBorders>
              <w:top w:val="single" w:sz="8" w:color="auto"/>
            </w:tcBorders>
          </w:tcPr>
          <w:p>
            <w:pPr>
              <w:spacing w:after="0"/>
              <w:rPr>
                <w:sz w:val="20"/>
                <w:szCs w:val="20"/>
                <w:color w:val="auto"/>
              </w:rPr>
            </w:pPr>
          </w:p>
        </w:tc>
        <w:tc>
          <w:tcPr>
            <w:tcW w:w="4060" w:type="dxa"/>
            <w:vAlign w:val="bottom"/>
            <w:tcBorders>
              <w:top w:val="single" w:sz="8" w:color="auto"/>
              <w:right w:val="single" w:sz="8" w:color="auto"/>
            </w:tcBorders>
          </w:tcPr>
          <w:p>
            <w:pPr>
              <w:spacing w:after="0"/>
              <w:rPr>
                <w:sz w:val="20"/>
                <w:szCs w:val="20"/>
                <w:color w:val="auto"/>
              </w:rPr>
            </w:pP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3</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(42.9)</w:t>
            </w: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4</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9"/>
        </w:trPr>
        <w:tc>
          <w:tcPr>
            <w:tcW w:w="42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Histology, n (%)</w:t>
            </w:r>
          </w:p>
        </w:tc>
        <w:tc>
          <w:tcPr>
            <w:tcW w:w="1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6"/>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Non-Squamous cell</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4</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Squamous cell carcinoma</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3</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(42.9)</w:t>
            </w:r>
          </w:p>
        </w:tc>
      </w:tr>
      <w:tr>
        <w:trPr>
          <w:trHeight w:val="237"/>
        </w:trPr>
        <w:tc>
          <w:tcPr>
            <w:tcW w:w="4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Cancer stage at initial diagnoses</w:t>
            </w:r>
          </w:p>
        </w:tc>
        <w:tc>
          <w:tcPr>
            <w:tcW w:w="140" w:type="dxa"/>
            <w:vAlign w:val="bottom"/>
            <w:tcBorders>
              <w:top w:val="single" w:sz="8" w:color="auto"/>
            </w:tcBorders>
          </w:tcPr>
          <w:p>
            <w:pPr>
              <w:spacing w:after="0"/>
              <w:rPr>
                <w:sz w:val="20"/>
                <w:szCs w:val="20"/>
                <w:color w:val="auto"/>
              </w:rPr>
            </w:pPr>
          </w:p>
        </w:tc>
        <w:tc>
          <w:tcPr>
            <w:tcW w:w="4060" w:type="dxa"/>
            <w:vAlign w:val="bottom"/>
            <w:tcBorders>
              <w:top w:val="single" w:sz="8" w:color="auto"/>
              <w:right w:val="single" w:sz="8" w:color="auto"/>
            </w:tcBorders>
          </w:tcPr>
          <w:p>
            <w:pPr>
              <w:spacing w:after="0"/>
              <w:rPr>
                <w:sz w:val="20"/>
                <w:szCs w:val="20"/>
                <w:color w:val="auto"/>
              </w:rPr>
            </w:pP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9"/>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3A</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(71.4)</w:t>
            </w: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3B</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2</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 stage</w:t>
            </w:r>
          </w:p>
        </w:tc>
        <w:tc>
          <w:tcPr>
            <w:tcW w:w="1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T1b</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T1c</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T2a</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9"/>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T2b</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T4</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3</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 stage</w:t>
            </w:r>
          </w:p>
        </w:tc>
        <w:tc>
          <w:tcPr>
            <w:tcW w:w="1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N0</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N2</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6</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(85.7)</w:t>
            </w:r>
          </w:p>
        </w:tc>
      </w:tr>
      <w:tr>
        <w:trPr>
          <w:trHeight w:val="237"/>
        </w:trPr>
        <w:tc>
          <w:tcPr>
            <w:tcW w:w="4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 stage</w:t>
            </w:r>
          </w:p>
        </w:tc>
        <w:tc>
          <w:tcPr>
            <w:tcW w:w="140" w:type="dxa"/>
            <w:vAlign w:val="bottom"/>
            <w:tcBorders>
              <w:top w:val="single" w:sz="8" w:color="auto"/>
            </w:tcBorders>
          </w:tcPr>
          <w:p>
            <w:pPr>
              <w:spacing w:after="0"/>
              <w:rPr>
                <w:sz w:val="20"/>
                <w:szCs w:val="20"/>
                <w:color w:val="auto"/>
              </w:rPr>
            </w:pPr>
          </w:p>
        </w:tc>
        <w:tc>
          <w:tcPr>
            <w:tcW w:w="4060" w:type="dxa"/>
            <w:vAlign w:val="bottom"/>
            <w:tcBorders>
              <w:top w:val="single" w:sz="8" w:color="auto"/>
              <w:right w:val="single" w:sz="8" w:color="auto"/>
            </w:tcBorders>
          </w:tcPr>
          <w:p>
            <w:pPr>
              <w:spacing w:after="0"/>
              <w:rPr>
                <w:sz w:val="20"/>
                <w:szCs w:val="20"/>
                <w:color w:val="auto"/>
              </w:rPr>
            </w:pP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9"/>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7</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42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PD-L1 status, n (%)</w:t>
            </w:r>
          </w:p>
        </w:tc>
        <w:tc>
          <w:tcPr>
            <w:tcW w:w="140" w:type="dxa"/>
            <w:vAlign w:val="bottom"/>
            <w:tcBorders>
              <w:top w:val="single" w:sz="8" w:color="auto"/>
            </w:tcBorders>
          </w:tcPr>
          <w:p>
            <w:pPr>
              <w:spacing w:after="0"/>
              <w:rPr>
                <w:sz w:val="20"/>
                <w:szCs w:val="20"/>
                <w:color w:val="auto"/>
              </w:rPr>
            </w:pPr>
          </w:p>
        </w:tc>
        <w:tc>
          <w:tcPr>
            <w:tcW w:w="4060" w:type="dxa"/>
            <w:vAlign w:val="bottom"/>
            <w:tcBorders>
              <w:top w:val="single" w:sz="8" w:color="auto"/>
              <w:right w:val="single" w:sz="8" w:color="auto"/>
            </w:tcBorders>
          </w:tcPr>
          <w:p>
            <w:pPr>
              <w:spacing w:after="0"/>
              <w:rPr>
                <w:sz w:val="20"/>
                <w:szCs w:val="20"/>
                <w:color w:val="auto"/>
              </w:rPr>
            </w:pP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68"/>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 (TPS ≥ 50%)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424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Low (TPS 1-49%)</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2</w:t>
            </w:r>
          </w:p>
        </w:tc>
        <w:tc>
          <w:tcPr>
            <w:tcW w:w="4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57"/>
        </w:trPr>
        <w:tc>
          <w:tcPr>
            <w:tcW w:w="424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Negative (TPS &lt; 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4</w:t>
            </w:r>
          </w:p>
        </w:tc>
        <w:tc>
          <w:tcPr>
            <w:tcW w:w="4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4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60" w:type="dxa"/>
            <w:vAlign w:val="bottom"/>
            <w:tcBorders>
              <w:right w:val="single" w:sz="8" w:color="auto"/>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320" w:right="539"/>
        <w:spacing w:after="0" w:line="282" w:lineRule="auto"/>
        <w:rPr>
          <w:sz w:val="20"/>
          <w:szCs w:val="20"/>
          <w:color w:val="auto"/>
        </w:rPr>
      </w:pPr>
      <w:r>
        <w:rPr>
          <w:rFonts w:ascii="Times New Roman" w:cs="Times New Roman" w:eastAsia="Times New Roman" w:hAnsi="Times New Roman"/>
          <w:sz w:val="18"/>
          <w:szCs w:val="18"/>
          <w:color w:val="auto"/>
        </w:rPr>
        <w:t>Early results from CONVERGE suggest that intratumoral/intranodal injection of JNJ-1900 (NBTXR3) is feasible and can be performed safely in patients with stage 3 unresectable NSCLC.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167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6167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1139"/>
        <w:spacing w:after="0" w:line="266" w:lineRule="auto"/>
        <w:rPr>
          <w:sz w:val="20"/>
          <w:szCs w:val="20"/>
          <w:color w:val="auto"/>
        </w:rPr>
      </w:pPr>
      <w:r>
        <w:rPr>
          <w:rFonts w:ascii="Times New Roman" w:cs="Times New Roman" w:eastAsia="Times New Roman" w:hAnsi="Times New Roman"/>
          <w:sz w:val="18"/>
          <w:szCs w:val="18"/>
          <w:color w:val="auto"/>
        </w:rPr>
        <w:t>Initial efficacy responses observed in seven patients following the full treatment regimen of concurrent chemoradiotherapy, JNJ-1900 (NBTXR3), and consolidation with durvalumab are promising with 85.7% (6/7 patients) ORR, 57.1% (4/7 patients) CRR, and 100% (7/7) DCR.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8"/>
          <w:szCs w:val="18"/>
          <w:color w:val="auto"/>
        </w:rPr>
        <w:t>Prior to reporting these results in May 2026, CONVERGE already provided positive signals at first disease evaluation following concurrent chemoradiotherapy, and before treatment with anti-PD-L1. In March 2026, the first data in respect of Part 1 were presented at the 2026 European Lung Cancer Conference. Initial efficacy responses observed in seven patients at this first disease evaluation following concurrent chemoradiotherapy, and before treatment with anti-PD-L1, were 71.4% ORR, 0.0% CR and 100% DCR.</w:t>
      </w:r>
    </w:p>
    <w:p>
      <w:pPr>
        <w:spacing w:after="0" w:line="75" w:lineRule="exact"/>
        <w:rPr>
          <w:sz w:val="20"/>
          <w:szCs w:val="20"/>
          <w:color w:val="auto"/>
        </w:rPr>
      </w:pPr>
    </w:p>
    <w:p>
      <w:pPr>
        <w:ind w:left="320" w:right="299"/>
        <w:spacing w:after="0" w:line="266" w:lineRule="auto"/>
        <w:rPr>
          <w:sz w:val="20"/>
          <w:szCs w:val="20"/>
          <w:color w:val="auto"/>
        </w:rPr>
      </w:pPr>
      <w:r>
        <w:rPr>
          <w:rFonts w:ascii="Times New Roman" w:cs="Times New Roman" w:eastAsia="Times New Roman" w:hAnsi="Times New Roman"/>
          <w:sz w:val="18"/>
          <w:szCs w:val="18"/>
          <w:color w:val="auto"/>
        </w:rPr>
        <w:t>Particular caution should be exercised when interpreting preliminary results and results relating to a small number of patients, as is the case with respect to the CONVERGE data presented here—such results should not be relied upon as predictive of future performance.</w:t>
      </w:r>
    </w:p>
    <w:p>
      <w:pPr>
        <w:spacing w:after="0" w:line="68" w:lineRule="exact"/>
        <w:rPr>
          <w:sz w:val="20"/>
          <w:szCs w:val="20"/>
          <w:color w:val="auto"/>
        </w:rPr>
      </w:pPr>
    </w:p>
    <w:p>
      <w:pPr>
        <w:ind w:left="320" w:right="539"/>
        <w:spacing w:after="0" w:line="261" w:lineRule="auto"/>
        <w:rPr>
          <w:sz w:val="20"/>
          <w:szCs w:val="20"/>
          <w:color w:val="auto"/>
        </w:rPr>
      </w:pPr>
      <w:r>
        <w:rPr>
          <w:rFonts w:ascii="Times New Roman" w:cs="Times New Roman" w:eastAsia="Times New Roman" w:hAnsi="Times New Roman"/>
          <w:sz w:val="18"/>
          <w:szCs w:val="18"/>
          <w:color w:val="auto"/>
        </w:rPr>
        <w:t>We believe that the absence of progressive disease and deepening response over time suggests potential for long-term durability. Of the four patients with CR post-consolidation with durvalumab, at first disease evaluation following concurrent chemoradiotherapy, and before treatment with anti-PD-L1, responses observed in these four patients were PR (3/4 patients) and SD (1/4 patients).</w:t>
      </w:r>
    </w:p>
    <w:p>
      <w:pPr>
        <w:spacing w:after="0" w:line="72" w:lineRule="exact"/>
        <w:rPr>
          <w:sz w:val="20"/>
          <w:szCs w:val="20"/>
          <w:color w:val="auto"/>
        </w:rPr>
      </w:pPr>
    </w:p>
    <w:p>
      <w:pPr>
        <w:ind w:left="320" w:right="459"/>
        <w:spacing w:after="0" w:line="258" w:lineRule="auto"/>
        <w:rPr>
          <w:sz w:val="20"/>
          <w:szCs w:val="20"/>
          <w:color w:val="auto"/>
        </w:rPr>
      </w:pPr>
      <w:r>
        <w:rPr>
          <w:rFonts w:ascii="Times New Roman" w:cs="Times New Roman" w:eastAsia="Times New Roman" w:hAnsi="Times New Roman"/>
          <w:sz w:val="18"/>
          <w:szCs w:val="18"/>
          <w:color w:val="auto"/>
        </w:rPr>
        <w:t>We believe that CONVERGE could provide a gateway to broader potential for JNJ-1900 (NBTXR3). While Part 1 data for CONVERGE provides promising signals, the MD Anderson NSCLC reirradiation trial—which evaluates one of the most difficult-to-treat and resistant NSCLC populations—has also shown positive efficacy signals that could suggest a larger potential impact of JNJ-1900 (NBTXR3) in earlier lines of treatment, with final 24-patient data expected in the second half of 2026.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21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8219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NSCLC Standard of Care Reference Point</w:t>
      </w:r>
    </w:p>
    <w:p>
      <w:pPr>
        <w:spacing w:after="0" w:line="119" w:lineRule="exact"/>
        <w:rPr>
          <w:sz w:val="20"/>
          <w:szCs w:val="20"/>
          <w:color w:val="auto"/>
        </w:rPr>
      </w:pPr>
    </w:p>
    <w:p>
      <w:pPr>
        <w:ind w:left="320" w:right="299"/>
        <w:spacing w:after="0" w:line="273" w:lineRule="auto"/>
        <w:rPr>
          <w:sz w:val="20"/>
          <w:szCs w:val="20"/>
          <w:color w:val="auto"/>
        </w:rPr>
      </w:pPr>
      <w:r>
        <w:rPr>
          <w:rFonts w:ascii="Times New Roman" w:cs="Times New Roman" w:eastAsia="Times New Roman" w:hAnsi="Times New Roman"/>
          <w:sz w:val="17"/>
          <w:szCs w:val="17"/>
          <w:color w:val="auto"/>
        </w:rPr>
        <w:t>The PACIFIC study is a landmark Phase 3, randomized, double-blind trial that established durvalumab as the standard of care for patients with unresectable, Stage 3 NSCLC. Of 983 patients initially enrolled in the PACIFIC trial, only 713 were randomized, with a key exclusion criteria being disease progression. Of 713 patients randomized in the PACIFIC trial, 709 received consolidation therapy (473 received durvalumab and 236 received placebo). Further, of the 713 randomized patients, only 656 (443 in the durvalumab arm (one of whom was excluded because of inconsistent measurements) and 213 in the placebo arm) were evaluated for antitumor response, as the response analysis was restricted to patients with measurable disease at baseline, as determined by blinded independent review.</w:t>
      </w:r>
    </w:p>
    <w:p>
      <w:pPr>
        <w:spacing w:after="0" w:line="89"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3600" w:type="dxa"/>
            <w:vAlign w:val="bottom"/>
            <w:tcBorders>
              <w:top w:val="single" w:sz="8" w:color="auto"/>
              <w:left w:val="single" w:sz="8" w:color="auto"/>
              <w:right w:val="single" w:sz="8" w:color="auto"/>
            </w:tcBorders>
          </w:tcPr>
          <w:p>
            <w:pPr>
              <w:spacing w:after="0"/>
              <w:rPr>
                <w:sz w:val="24"/>
                <w:szCs w:val="24"/>
                <w:color w:val="auto"/>
              </w:rPr>
            </w:pP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Durvalumab</w:t>
            </w:r>
          </w:p>
        </w:tc>
        <w:tc>
          <w:tcPr>
            <w:tcW w:w="1740" w:type="dxa"/>
            <w:vAlign w:val="bottom"/>
            <w:tcBorders>
              <w:top w:val="single" w:sz="8" w:color="auto"/>
              <w:right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32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186"/>
        </w:trPr>
        <w:tc>
          <w:tcPr>
            <w:tcW w:w="3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PACIFIC</w:t>
            </w:r>
          </w:p>
        </w:tc>
        <w:tc>
          <w:tcPr>
            <w:tcW w:w="660" w:type="dxa"/>
            <w:vAlign w:val="bottom"/>
          </w:tcPr>
          <w:p>
            <w:pPr>
              <w:spacing w:after="0"/>
              <w:rPr>
                <w:sz w:val="16"/>
                <w:szCs w:val="16"/>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N=476</w:t>
            </w:r>
          </w:p>
        </w:tc>
        <w:tc>
          <w:tcPr>
            <w:tcW w:w="640" w:type="dxa"/>
            <w:vAlign w:val="bottom"/>
          </w:tcPr>
          <w:p>
            <w:pPr>
              <w:spacing w:after="0"/>
              <w:rPr>
                <w:sz w:val="16"/>
                <w:szCs w:val="16"/>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N=237</w:t>
            </w:r>
          </w:p>
        </w:tc>
        <w:tc>
          <w:tcPr>
            <w:tcW w:w="13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N=713</w:t>
            </w:r>
          </w:p>
        </w:tc>
      </w:tr>
      <w:tr>
        <w:trPr>
          <w:trHeight w:val="23"/>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Age, median (range)</w:t>
            </w:r>
          </w:p>
        </w:tc>
        <w:tc>
          <w:tcPr>
            <w:tcW w:w="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64</w:t>
            </w:r>
          </w:p>
        </w:tc>
        <w:tc>
          <w:tcPr>
            <w:tcW w:w="11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(31-84)</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64</w:t>
            </w:r>
          </w:p>
        </w:tc>
        <w:tc>
          <w:tcPr>
            <w:tcW w:w="1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(23-90)</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64 (23-90)</w:t>
            </w:r>
          </w:p>
        </w:tc>
      </w:tr>
      <w:tr>
        <w:trPr>
          <w:trHeight w:val="237"/>
        </w:trPr>
        <w:tc>
          <w:tcPr>
            <w:tcW w:w="36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Sex, n (%)</w:t>
            </w:r>
          </w:p>
        </w:tc>
        <w:tc>
          <w:tcPr>
            <w:tcW w:w="6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9"/>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Male</w:t>
            </w:r>
          </w:p>
        </w:tc>
        <w:tc>
          <w:tcPr>
            <w:tcW w:w="17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334 (70.2)</w:t>
            </w:r>
          </w:p>
        </w:tc>
        <w:tc>
          <w:tcPr>
            <w:tcW w:w="174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166 (70.0)</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500 (70.1)</w:t>
            </w: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Female</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142 (29.8)</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71</w:t>
            </w:r>
          </w:p>
        </w:tc>
        <w:tc>
          <w:tcPr>
            <w:tcW w:w="1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213 (29.9)</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Race, n (%)</w:t>
            </w:r>
          </w:p>
        </w:tc>
        <w:tc>
          <w:tcPr>
            <w:tcW w:w="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White</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337 (70.8)</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157 (66.2)</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494 (69.3)</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Black</w:t>
            </w:r>
          </w:p>
        </w:tc>
        <w:tc>
          <w:tcPr>
            <w:tcW w:w="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12</w:t>
            </w:r>
          </w:p>
        </w:tc>
        <w:tc>
          <w:tcPr>
            <w:tcW w:w="11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174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 (0.8)</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 (2.0)</w:t>
            </w: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Asian</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120 (25.2)</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72</w:t>
            </w:r>
          </w:p>
        </w:tc>
        <w:tc>
          <w:tcPr>
            <w:tcW w:w="1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(30.4)</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192 (26.9)</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9"/>
        </w:trPr>
        <w:tc>
          <w:tcPr>
            <w:tcW w:w="36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Smoking Status, n (%)</w:t>
            </w:r>
          </w:p>
        </w:tc>
        <w:tc>
          <w:tcPr>
            <w:tcW w:w="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Former smoker</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354 (74.4)</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178 (75.1)</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532 (74.6)</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smoker</w:t>
            </w:r>
          </w:p>
        </w:tc>
        <w:tc>
          <w:tcPr>
            <w:tcW w:w="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79</w:t>
            </w:r>
          </w:p>
        </w:tc>
        <w:tc>
          <w:tcPr>
            <w:tcW w:w="11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(16.6)</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38</w:t>
            </w:r>
          </w:p>
        </w:tc>
        <w:tc>
          <w:tcPr>
            <w:tcW w:w="1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117 (16.4)</w:t>
            </w: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Never smoked</w:t>
            </w: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43</w:t>
            </w:r>
          </w:p>
        </w:tc>
        <w:tc>
          <w:tcPr>
            <w:tcW w:w="1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21</w:t>
            </w:r>
          </w:p>
        </w:tc>
        <w:tc>
          <w:tcPr>
            <w:tcW w:w="1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64 (9.0)</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9"/>
        </w:trPr>
        <w:tc>
          <w:tcPr>
            <w:tcW w:w="36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ECOG status, n (%)</w:t>
            </w:r>
          </w:p>
        </w:tc>
        <w:tc>
          <w:tcPr>
            <w:tcW w:w="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234 (49.2)</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114 (48.1)</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348 (48.8)</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240 (50.4)</w:t>
            </w:r>
          </w:p>
        </w:tc>
        <w:tc>
          <w:tcPr>
            <w:tcW w:w="174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122 (51.5)</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362 (50.8)</w:t>
            </w:r>
          </w:p>
        </w:tc>
      </w:tr>
      <w:tr>
        <w:trPr>
          <w:trHeight w:val="237"/>
        </w:trPr>
        <w:tc>
          <w:tcPr>
            <w:tcW w:w="36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Histology, n (%)</w:t>
            </w:r>
          </w:p>
        </w:tc>
        <w:tc>
          <w:tcPr>
            <w:tcW w:w="66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Non-Squamous cell</w:t>
            </w:r>
          </w:p>
        </w:tc>
        <w:tc>
          <w:tcPr>
            <w:tcW w:w="17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252 (52.9)</w:t>
            </w:r>
          </w:p>
        </w:tc>
        <w:tc>
          <w:tcPr>
            <w:tcW w:w="174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135 (57.0)</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387 (54.3)</w:t>
            </w: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Squamous cell carcinoma</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224 (47.1)</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102 (43.0)</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326 (45.7)</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9"/>
        </w:trPr>
        <w:tc>
          <w:tcPr>
            <w:tcW w:w="36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Cancer stage at initial diagnoses</w:t>
            </w:r>
          </w:p>
        </w:tc>
        <w:tc>
          <w:tcPr>
            <w:tcW w:w="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3A</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252 (52.9)</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125 (52.7)</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377 (52.9)</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3B</w:t>
            </w:r>
          </w:p>
        </w:tc>
        <w:tc>
          <w:tcPr>
            <w:tcW w:w="17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212 (44.5)</w:t>
            </w:r>
          </w:p>
        </w:tc>
        <w:tc>
          <w:tcPr>
            <w:tcW w:w="174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107 (45.1)</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319 (44.7)</w:t>
            </w: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12</w:t>
            </w:r>
          </w:p>
        </w:tc>
        <w:tc>
          <w:tcPr>
            <w:tcW w:w="1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5 (2.1)</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17 (2.4)</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PD-L1 status, n (%)</w:t>
            </w:r>
          </w:p>
        </w:tc>
        <w:tc>
          <w:tcPr>
            <w:tcW w:w="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&lt; 25%</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187 (78.8)</w:t>
            </w:r>
          </w:p>
        </w:tc>
        <w:tc>
          <w:tcPr>
            <w:tcW w:w="174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105 (90.0)</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292 (41.0)</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68"/>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25%</w:t>
            </w:r>
          </w:p>
        </w:tc>
        <w:tc>
          <w:tcPr>
            <w:tcW w:w="178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115 (47.9)</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44</w:t>
            </w:r>
          </w:p>
        </w:tc>
        <w:tc>
          <w:tcPr>
            <w:tcW w:w="1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(36.0)</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159 (22.3)</w:t>
            </w:r>
          </w:p>
        </w:tc>
      </w:tr>
      <w:tr>
        <w:trPr>
          <w:trHeight w:val="237"/>
        </w:trPr>
        <w:tc>
          <w:tcPr>
            <w:tcW w:w="360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Unknown</w:t>
            </w:r>
          </w:p>
        </w:tc>
        <w:tc>
          <w:tcPr>
            <w:tcW w:w="1780" w:type="dxa"/>
            <w:vAlign w:val="bottom"/>
            <w:tcBorders>
              <w:top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174 (73.3)</w:t>
            </w: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88</w:t>
            </w:r>
          </w:p>
        </w:tc>
        <w:tc>
          <w:tcPr>
            <w:tcW w:w="1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(74.1)</w:t>
            </w:r>
          </w:p>
        </w:tc>
        <w:tc>
          <w:tcPr>
            <w:tcW w:w="13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262 (36.7)</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57"/>
        </w:trPr>
        <w:tc>
          <w:tcPr>
            <w:tcW w:w="3600" w:type="dxa"/>
            <w:vAlign w:val="bottom"/>
            <w:tcBorders>
              <w:left w:val="single" w:sz="8" w:color="auto"/>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&lt;1% (posthoc analysis)</w:t>
            </w:r>
          </w:p>
        </w:tc>
        <w:tc>
          <w:tcPr>
            <w:tcW w:w="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90</w:t>
            </w:r>
          </w:p>
        </w:tc>
        <w:tc>
          <w:tcPr>
            <w:tcW w:w="11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(18.9)</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58</w:t>
            </w:r>
          </w:p>
        </w:tc>
        <w:tc>
          <w:tcPr>
            <w:tcW w:w="11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(24.5)</w:t>
            </w:r>
          </w:p>
        </w:tc>
        <w:tc>
          <w:tcPr>
            <w:tcW w:w="1320" w:type="dxa"/>
            <w:vAlign w:val="bottom"/>
            <w:tcBorders>
              <w:bottom w:val="single" w:sz="8" w:color="CCEEFF"/>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148 (20.8)</w:t>
            </w:r>
          </w:p>
        </w:tc>
      </w:tr>
      <w:tr>
        <w:trPr>
          <w:trHeight w:val="20"/>
        </w:trPr>
        <w:tc>
          <w:tcPr>
            <w:tcW w:w="3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320" w:right="719"/>
        <w:spacing w:after="0" w:line="282" w:lineRule="auto"/>
        <w:rPr>
          <w:sz w:val="20"/>
          <w:szCs w:val="20"/>
          <w:color w:val="auto"/>
        </w:rPr>
      </w:pPr>
      <w:r>
        <w:rPr>
          <w:rFonts w:ascii="Times New Roman" w:cs="Times New Roman" w:eastAsia="Times New Roman" w:hAnsi="Times New Roman"/>
          <w:sz w:val="18"/>
          <w:szCs w:val="18"/>
          <w:color w:val="auto"/>
        </w:rPr>
        <w:t>Of the 713 randomized patients in the PACIFIC trial, 287 patients (40.3%) had stage 3A-N2, of which 197/476 patients (41.4%) were in the durvalumab arm and 90/237 patients (40.0%) were in the placebo arm.</w:t>
      </w:r>
    </w:p>
    <w:p>
      <w:pPr>
        <w:spacing w:after="0" w:line="54" w:lineRule="exact"/>
        <w:rPr>
          <w:sz w:val="20"/>
          <w:szCs w:val="20"/>
          <w:color w:val="auto"/>
        </w:rPr>
      </w:pPr>
    </w:p>
    <w:p>
      <w:pPr>
        <w:ind w:left="320" w:right="499"/>
        <w:spacing w:after="0" w:line="261" w:lineRule="auto"/>
        <w:rPr>
          <w:sz w:val="20"/>
          <w:szCs w:val="20"/>
          <w:color w:val="auto"/>
        </w:rPr>
      </w:pPr>
      <w:r>
        <w:rPr>
          <w:rFonts w:ascii="Times New Roman" w:cs="Times New Roman" w:eastAsia="Times New Roman" w:hAnsi="Times New Roman"/>
          <w:sz w:val="18"/>
          <w:szCs w:val="18"/>
          <w:color w:val="auto"/>
        </w:rPr>
        <w:t>We further analyzed the PACIFIC data to evaluate outcomes after chemoradiotherapy, on the basis of the full 983-patient enrolled population. We added back the 270 patients who were not randomized, without adjusting the observed best response to previous chemoradiotherapy counts observed among patients who underwent randomization,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39"/>
        <w:spacing w:after="0" w:line="261" w:lineRule="auto"/>
        <w:rPr>
          <w:sz w:val="20"/>
          <w:szCs w:val="20"/>
          <w:color w:val="auto"/>
        </w:rPr>
      </w:pPr>
      <w:r>
        <w:rPr>
          <w:rFonts w:ascii="Times New Roman" w:cs="Times New Roman" w:eastAsia="Times New Roman" w:hAnsi="Times New Roman"/>
          <w:sz w:val="18"/>
          <w:szCs w:val="18"/>
          <w:color w:val="auto"/>
        </w:rPr>
        <w:t>and this allowed us to evaluate the adjusted data as if all 270 excluded patients were effectively treated as having progressive disease. When we reviewed the data adjusted on this basis, the PACIFIC trial demonstrated a CRR of 1.6% (16/983 patients), ORR of 36.5% (359/983 patients) and DCR of 70.7% (695/983 patients) after chemoradiotherapy, across both arms of the trial.</w:t>
      </w:r>
    </w:p>
    <w:p>
      <w:pPr>
        <w:spacing w:after="0" w:line="72" w:lineRule="exact"/>
        <w:rPr>
          <w:sz w:val="20"/>
          <w:szCs w:val="20"/>
          <w:color w:val="auto"/>
        </w:rPr>
      </w:pPr>
    </w:p>
    <w:p>
      <w:pPr>
        <w:ind w:left="320" w:right="319"/>
        <w:spacing w:after="0" w:line="261" w:lineRule="auto"/>
        <w:rPr>
          <w:sz w:val="20"/>
          <w:szCs w:val="20"/>
          <w:color w:val="auto"/>
        </w:rPr>
      </w:pPr>
      <w:r>
        <w:rPr>
          <w:rFonts w:ascii="Times New Roman" w:cs="Times New Roman" w:eastAsia="Times New Roman" w:hAnsi="Times New Roman"/>
          <w:sz w:val="18"/>
          <w:szCs w:val="18"/>
          <w:color w:val="auto"/>
        </w:rPr>
        <w:t>With respect to the intention-to-treat population and the outcome after durvalumab, which was restricted to patients with measurable disease at baseline, as determined by blinded independent central review, the PACIFIC trial evaluated 443 patients in the durvalumab arm with a CRR of 1.4% (6/443 patients), ORR of 28.4 (126/443 patients), and DCR of 81.0% (359/443 patients).</w:t>
      </w:r>
    </w:p>
    <w:p>
      <w:pPr>
        <w:spacing w:after="0" w:line="72" w:lineRule="exact"/>
        <w:rPr>
          <w:sz w:val="20"/>
          <w:szCs w:val="20"/>
          <w:color w:val="auto"/>
        </w:rPr>
      </w:pPr>
    </w:p>
    <w:p>
      <w:pPr>
        <w:ind w:left="320" w:right="319"/>
        <w:spacing w:after="0" w:line="258" w:lineRule="auto"/>
        <w:rPr>
          <w:sz w:val="20"/>
          <w:szCs w:val="20"/>
          <w:color w:val="auto"/>
        </w:rPr>
      </w:pPr>
      <w:r>
        <w:rPr>
          <w:rFonts w:ascii="Times New Roman" w:cs="Times New Roman" w:eastAsia="Times New Roman" w:hAnsi="Times New Roman"/>
          <w:sz w:val="18"/>
          <w:szCs w:val="18"/>
          <w:color w:val="auto"/>
        </w:rPr>
        <w:t>We further analyzed this data set by analyzing the observed best response counts observed in the durvalumab arm against the full intention-to-treat population, which shows CRR of &lt;1% (6/656 patients) and DCR of 54.7% (359/656 patients). This analysis implies that, taking into account approximately ~28% of enrolled patients excluded from randomization, ORR would roughly be in a range of results between 19.2% (reflecting 126/656 patients) to 35.6%. This percentage is consistent with the ORR to previous chemoradiotherapy noted above.</w:t>
      </w:r>
    </w:p>
    <w:p>
      <w:pPr>
        <w:spacing w:after="0" w:line="75" w:lineRule="exact"/>
        <w:rPr>
          <w:sz w:val="20"/>
          <w:szCs w:val="20"/>
          <w:color w:val="auto"/>
        </w:rPr>
      </w:pPr>
    </w:p>
    <w:p>
      <w:pPr>
        <w:ind w:left="320" w:right="319"/>
        <w:spacing w:after="0" w:line="256" w:lineRule="auto"/>
        <w:rPr>
          <w:sz w:val="20"/>
          <w:szCs w:val="20"/>
          <w:color w:val="auto"/>
        </w:rPr>
      </w:pPr>
      <w:r>
        <w:rPr>
          <w:rFonts w:ascii="Times New Roman" w:cs="Times New Roman" w:eastAsia="Times New Roman" w:hAnsi="Times New Roman"/>
          <w:sz w:val="18"/>
          <w:szCs w:val="18"/>
          <w:color w:val="auto"/>
        </w:rPr>
        <w:t>Reported results from the PACIFIC Phase 3 trial and our further post hoc analyses of the PACIFIC data are provided for background contextual reference only in order to illustrate the current market opportunity. No comparison with CONVERGE is intended by this presentation and no inference regarding the relative efficacy or safety of JNJ-1900 compared to any other therapy should be drawn from the presentation of these data. Cross-trial comparisons are inherently limited by differences in, among other factors, patient populations, eligibility criteria, trial design, and assessment methodology.</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Head and Neck Cancer Landscape</w:t>
      </w:r>
    </w:p>
    <w:p>
      <w:pPr>
        <w:spacing w:after="0" w:line="119" w:lineRule="exact"/>
        <w:rPr>
          <w:sz w:val="20"/>
          <w:szCs w:val="20"/>
          <w:color w:val="auto"/>
        </w:rPr>
      </w:pPr>
    </w:p>
    <w:p>
      <w:pPr>
        <w:ind w:left="320" w:right="299"/>
        <w:spacing w:after="0" w:line="251" w:lineRule="auto"/>
        <w:rPr>
          <w:sz w:val="20"/>
          <w:szCs w:val="20"/>
          <w:color w:val="auto"/>
        </w:rPr>
      </w:pPr>
      <w:r>
        <w:rPr>
          <w:rFonts w:ascii="Times New Roman" w:cs="Times New Roman" w:eastAsia="Times New Roman" w:hAnsi="Times New Roman"/>
          <w:sz w:val="18"/>
          <w:szCs w:val="18"/>
          <w:color w:val="auto"/>
        </w:rPr>
        <w:t>We believe that JNJ-1900 (NBTXR3) could benefit most patients with locally advanced head and neck squamous cell carcinoma (“LA-HNSCC”), with front-line local treatment being the primary area of clinical need. Of the approximately 150,000 patients diagnosed annually with head and neck cancer in the United States and the EU5, approximately 90%, or roughly 135,000 patients, present with local or locally advanced disease at diagnosis. The remaining approximately 10%, or roughly 15,000 patients, present with metastatic disease at diagnosis. Among those with local or locally advanced disease, approximately 15% (roughly 22,000 patients) are ineligible for cisplatin-based chemotherapy and are treated with radiotherapy alone; approximately 45% (roughly 60,000 patients) are cisplatin-eligible and treated with radiotherapy combined with chemotherapy; and approximately 30% (roughly 45,000 patients) are addressable by surgery, with or without adjuvant chemoradiation. JNJ-1900 (NBTXR3) is being evaluated across multiple stages of this treatment pathway. In the front-line setting, the ongoing global Phase 3 NANORAY-312 clinical trial, sponsored by J&amp;J, is evaluating JNJ-1900 (NBTXR3) activated by radiotherapy in cisplatin-ineligible patients with locally advanced disease—a population with limited therapeutic options and historically poor outcomes. For cisplatin-eligible patients, J&amp;J has initiated a Phase 1b clinical trial (LUMIRAY) evaluating JNJ-1900 (NBTXR3) in combination with standard cisplatin-based chemoradiation. After initial local treatment, approximately 65,000 patients across the United States and the EU5 progress to recurrent or metastatic disease, at which point they may receive anti-PD-1 immunotherapy (pembrolizumab or nivolumab). Nanobiotix is conducting Study 1100, an ongoing Phase 1 multi-cohort clinical study, to evaluate JNJ-1900 (NBTXR3) in combination with anti-PD-1 therapy in these patients. Cohort 2 of Study 1100 targets patients naïve to anti-PD-1 therapy, while Cohort 1 addresses patients who have failed prior anti-PD-1 treatment—a population for which approximately 80% have no established standard of care. PD-1-based immunotherapy is primarily administered after local treatment fails, and JNJ-1900 (NBTXR3) in combination with these agents may offer a therapeutic option for patients who have exhausted available treatments.</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NANORAY-312 Protocol Amendment</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NANORAY-312 is a randomized (1:1), controlled, two-arm global Phase 3 clinical trial in elderly patients</w:t>
      </w:r>
    </w:p>
    <w:p>
      <w:pPr>
        <w:spacing w:after="0" w:line="27" w:lineRule="exact"/>
        <w:rPr>
          <w:sz w:val="20"/>
          <w:szCs w:val="20"/>
          <w:color w:val="auto"/>
        </w:rPr>
      </w:pPr>
    </w:p>
    <w:p>
      <w:pPr>
        <w:ind w:left="320" w:right="299"/>
        <w:spacing w:after="0" w:line="252" w:lineRule="auto"/>
        <w:rPr>
          <w:sz w:val="20"/>
          <w:szCs w:val="20"/>
          <w:color w:val="auto"/>
        </w:rPr>
      </w:pPr>
      <w:r>
        <w:rPr>
          <w:rFonts w:ascii="Times New Roman" w:cs="Times New Roman" w:eastAsia="Times New Roman" w:hAnsi="Times New Roman"/>
          <w:sz w:val="18"/>
          <w:szCs w:val="18"/>
          <w:color w:val="auto"/>
        </w:rPr>
        <w:t>(≥60 years) with locally-advanced head and neck cancer who are ineligible for platinum-based chemotherapy and have at least one measurable and intratumorally injectable tumor. Johnson &amp; Johnson is the global sponsor for the trial. All the patients receive definitive radiation therapy with the option of cetuximab per investigator’s choice, and patients in the experimental arm receive JNJ-1900 (NBTXR3), dosed at 33% of gross tumor volume, in addition. The trial is global and approximately 500 patients will be randomized, with patients having been randomized already in all planned major regions (the US, Europe and Asia).</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67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79"/>
        <w:spacing w:after="0" w:line="261" w:lineRule="auto"/>
        <w:rPr>
          <w:sz w:val="20"/>
          <w:szCs w:val="20"/>
          <w:color w:val="auto"/>
        </w:rPr>
      </w:pPr>
      <w:r>
        <w:rPr>
          <w:rFonts w:ascii="Times New Roman" w:cs="Times New Roman" w:eastAsia="Times New Roman" w:hAnsi="Times New Roman"/>
          <w:sz w:val="18"/>
          <w:szCs w:val="18"/>
          <w:color w:val="auto"/>
        </w:rPr>
        <w:t>The primary endpoint of the clinical trial is PFS and the key secondary endpoint is OS. The clinical trial is designed to demonstrate superiority of RT-activated JNJ-1900 (NBTXR3) over the control arm. In addition, time to loco-regional and distant progression, head and neck cancer specific survival outcomes, overall response rate, safety and quality of life will be evaluated as secondary endpoints.</w:t>
      </w:r>
    </w:p>
    <w:p>
      <w:pPr>
        <w:spacing w:after="0" w:line="72"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8"/>
          <w:szCs w:val="18"/>
          <w:color w:val="auto"/>
        </w:rPr>
        <w:t>In May 2026, we announced the protocol amendment to the ongoing pivotal NANORAY-312 clinical trial as submitted by NANORAY-312 global sponsor J&amp;J. This protocol amendment eliminates the previously planned interim analysis (283 events) and modifies the final analysis to include fewer events (335 events) than originally planned and to be conducted sooner. No change has been made to primary and secondary endpoints, hazard ratios, and expected effect size, while power has been improved versus the previously planned interim analysis. We believe that this decision could accelerate and expand the global registration pathway for JNJ-1900 (NBTXR3) in head and neck cancer, providing the opportunity for earlier increased revenue generation for us.</w:t>
      </w:r>
    </w:p>
    <w:p>
      <w:pPr>
        <w:spacing w:after="0" w:line="81" w:lineRule="exact"/>
        <w:rPr>
          <w:sz w:val="20"/>
          <w:szCs w:val="20"/>
          <w:color w:val="auto"/>
        </w:rPr>
      </w:pPr>
    </w:p>
    <w:p>
      <w:pPr>
        <w:ind w:left="320" w:right="539"/>
        <w:spacing w:after="0" w:line="256" w:lineRule="auto"/>
        <w:rPr>
          <w:sz w:val="20"/>
          <w:szCs w:val="20"/>
          <w:color w:val="auto"/>
        </w:rPr>
      </w:pPr>
      <w:r>
        <w:rPr>
          <w:rFonts w:ascii="Times New Roman" w:cs="Times New Roman" w:eastAsia="Times New Roman" w:hAnsi="Times New Roman"/>
          <w:sz w:val="18"/>
          <w:szCs w:val="18"/>
          <w:color w:val="auto"/>
        </w:rPr>
        <w:t>Following the protocol amendment, power for the primary PFS endpoint has been improved to 92% versus the previously planned interim analysis, with no change to the key secondary OS endpoint (80% power). The clinical trial is designed to detect an expected median PFS of approximately 13 months in the active arm versus approximately 9 months in the control arm (expected hazard ratio: 0.692) and an expected median OS of approximately 16 months in the active arm versus approximately 12 months in the control arm (expected hazard ratio: 0.75).</w:t>
      </w:r>
    </w:p>
    <w:p>
      <w:pPr>
        <w:spacing w:after="0" w:line="79" w:lineRule="exact"/>
        <w:rPr>
          <w:sz w:val="20"/>
          <w:szCs w:val="20"/>
          <w:color w:val="auto"/>
        </w:rPr>
      </w:pPr>
    </w:p>
    <w:p>
      <w:pPr>
        <w:ind w:left="320" w:right="319"/>
        <w:spacing w:after="0" w:line="266" w:lineRule="auto"/>
        <w:rPr>
          <w:sz w:val="20"/>
          <w:szCs w:val="20"/>
          <w:color w:val="auto"/>
        </w:rPr>
      </w:pPr>
      <w:r>
        <w:rPr>
          <w:rFonts w:ascii="Times New Roman" w:cs="Times New Roman" w:eastAsia="Times New Roman" w:hAnsi="Times New Roman"/>
          <w:sz w:val="18"/>
          <w:szCs w:val="18"/>
          <w:color w:val="auto"/>
        </w:rPr>
        <w:t>In light of the current context and absent subsequent changes, we anticipate that the modified final analysis should readout in the same timeframe as the previously planned interim analysis. Exact timing will depend on when clinical events occur.</w:t>
      </w:r>
    </w:p>
    <w:p>
      <w:pPr>
        <w:spacing w:after="0" w:line="68" w:lineRule="exact"/>
        <w:rPr>
          <w:sz w:val="20"/>
          <w:szCs w:val="20"/>
          <w:color w:val="auto"/>
        </w:rPr>
      </w:pPr>
    </w:p>
    <w:p>
      <w:pPr>
        <w:ind w:left="320" w:right="319"/>
        <w:spacing w:after="0" w:line="258" w:lineRule="auto"/>
        <w:rPr>
          <w:sz w:val="20"/>
          <w:szCs w:val="20"/>
          <w:color w:val="auto"/>
        </w:rPr>
      </w:pPr>
      <w:r>
        <w:rPr>
          <w:rFonts w:ascii="Times New Roman" w:cs="Times New Roman" w:eastAsia="Times New Roman" w:hAnsi="Times New Roman"/>
          <w:sz w:val="18"/>
          <w:szCs w:val="18"/>
          <w:color w:val="auto"/>
        </w:rPr>
        <w:t>Per the terms of our license agreement with J&amp;J, we are eligible to receive up to approximately $200 million in aggregate payments in the next few years, subject to the achievement of remaining development and regulatory milestone events related to the first two programs evaluating JNJ-1900 (NBTXR3) in head and neck cancer and lung cancer, indications for which we estimate there to be over 100,000 patients addressable in the U.S. and five most populous EU member states alone.</w:t>
      </w: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Curadigm</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Curadigm Nanoprimer Platform</w:t>
      </w:r>
    </w:p>
    <w:p>
      <w:pPr>
        <w:spacing w:after="0" w:line="119" w:lineRule="exact"/>
        <w:rPr>
          <w:sz w:val="20"/>
          <w:szCs w:val="20"/>
          <w:color w:val="auto"/>
        </w:rPr>
      </w:pPr>
    </w:p>
    <w:p>
      <w:pPr>
        <w:ind w:left="320" w:right="1239"/>
        <w:spacing w:after="0" w:line="282" w:lineRule="auto"/>
        <w:rPr>
          <w:sz w:val="20"/>
          <w:szCs w:val="20"/>
          <w:color w:val="auto"/>
        </w:rPr>
      </w:pPr>
      <w:r>
        <w:rPr>
          <w:rFonts w:ascii="Times New Roman" w:cs="Times New Roman" w:eastAsia="Times New Roman" w:hAnsi="Times New Roman"/>
          <w:sz w:val="18"/>
          <w:szCs w:val="18"/>
          <w:color w:val="auto"/>
        </w:rPr>
        <w:t>Curadigm is an early-stage nanotherapeutic platform designed to disrupt the design and development of intravenously-administered therapeutics and potentially improve outcomes for patients.</w:t>
      </w:r>
    </w:p>
    <w:p>
      <w:pPr>
        <w:spacing w:after="0" w:line="54" w:lineRule="exact"/>
        <w:rPr>
          <w:sz w:val="20"/>
          <w:szCs w:val="20"/>
          <w:color w:val="auto"/>
        </w:rPr>
      </w:pPr>
    </w:p>
    <w:p>
      <w:pPr>
        <w:ind w:left="320" w:right="299"/>
        <w:spacing w:after="0" w:line="254" w:lineRule="auto"/>
        <w:rPr>
          <w:sz w:val="20"/>
          <w:szCs w:val="20"/>
          <w:color w:val="auto"/>
        </w:rPr>
      </w:pPr>
      <w:r>
        <w:rPr>
          <w:rFonts w:ascii="Times New Roman" w:cs="Times New Roman" w:eastAsia="Times New Roman" w:hAnsi="Times New Roman"/>
          <w:sz w:val="18"/>
          <w:szCs w:val="18"/>
          <w:color w:val="auto"/>
        </w:rPr>
        <w:t>We have continued to advance our next-wave Curadigm Nanoprimer platform, which we believe will be a driver of future growth for us, with plans for proprietary internal product development with respect to the platform and potential external collaborations. In support of such potential collaborations, we have numerous material transfer agreements in place with potential partners who are conducting exploratory evaluations of Nanoprimer combinations with various products. These potential collaborations build upon collaborative pre-clinical proof of concept studies that we have undertaken to date with world-class partners. Several proof-of-concepts have been generated in oncology, rare diseases, brain disorders and vaccination while various collaborations are still ongoing and new potential collaborations are under way.</w:t>
      </w:r>
    </w:p>
    <w:p>
      <w:pPr>
        <w:spacing w:after="0" w:line="84"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As we advance the Curadigm Nanoprimer platform, we seek to build, protect and develop the internal Curadigm pipeline, industrialize the Curadigm platform, and unlock growth pathways through potential partnerships and licensing. In furtherance of these goals, we are working to advance completion of an IND readiness package for a first product and build out GMP manufacturing capabilities for scale, while pursuing business development activities for external collaborations.</w:t>
      </w:r>
    </w:p>
    <w:p>
      <w:pPr>
        <w:spacing w:after="0" w:line="75" w:lineRule="exact"/>
        <w:rPr>
          <w:sz w:val="20"/>
          <w:szCs w:val="20"/>
          <w:color w:val="auto"/>
        </w:rPr>
      </w:pPr>
    </w:p>
    <w:p>
      <w:pPr>
        <w:ind w:left="320" w:right="399"/>
        <w:spacing w:after="0" w:line="281" w:lineRule="auto"/>
        <w:rPr>
          <w:sz w:val="20"/>
          <w:szCs w:val="20"/>
          <w:color w:val="auto"/>
        </w:rPr>
      </w:pPr>
      <w:r>
        <w:rPr>
          <w:rFonts w:ascii="Times New Roman" w:cs="Times New Roman" w:eastAsia="Times New Roman" w:hAnsi="Times New Roman"/>
          <w:sz w:val="17"/>
          <w:szCs w:val="17"/>
          <w:color w:val="auto"/>
        </w:rPr>
        <w:t>Low delivery efficiency is a persistent challenge associated with the extrahepatic delivery of innovative therapeutic agents that are administered intravenously, such as RNA-based vaccines, peptide-based vaccines, and oncolytics viruses. It has been estimated that less than 1% of administered nanoparticle doses are found to be delivered to intended solid tumor targets. The Curadigm Nanoprimer is designed to address this persistent challenge.</w:t>
      </w:r>
    </w:p>
    <w:p>
      <w:pPr>
        <w:spacing w:after="0" w:line="56" w:lineRule="exact"/>
        <w:rPr>
          <w:sz w:val="20"/>
          <w:szCs w:val="20"/>
          <w:color w:val="auto"/>
        </w:rPr>
      </w:pPr>
    </w:p>
    <w:p>
      <w:pPr>
        <w:ind w:left="320" w:right="339"/>
        <w:spacing w:after="0" w:line="282" w:lineRule="auto"/>
        <w:rPr>
          <w:sz w:val="20"/>
          <w:szCs w:val="20"/>
          <w:color w:val="auto"/>
        </w:rPr>
      </w:pPr>
      <w:r>
        <w:rPr>
          <w:rFonts w:ascii="Times New Roman" w:cs="Times New Roman" w:eastAsia="Times New Roman" w:hAnsi="Times New Roman"/>
          <w:sz w:val="18"/>
          <w:szCs w:val="18"/>
          <w:color w:val="auto"/>
        </w:rPr>
        <w:t>Our Nanoprimer is intended to transiently occupy liver pathways responsible for therapeutic clearance. By doing so, the Nanoprimer is designed to enable a greater fraction of subsequently administered therapeutic agents to</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76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19"/>
        <w:spacing w:after="0" w:line="261" w:lineRule="auto"/>
        <w:rPr>
          <w:sz w:val="20"/>
          <w:szCs w:val="20"/>
          <w:color w:val="auto"/>
        </w:rPr>
      </w:pPr>
      <w:r>
        <w:rPr>
          <w:rFonts w:ascii="Times New Roman" w:cs="Times New Roman" w:eastAsia="Times New Roman" w:hAnsi="Times New Roman"/>
          <w:sz w:val="18"/>
          <w:szCs w:val="18"/>
          <w:color w:val="auto"/>
        </w:rPr>
        <w:t>reach their intended target tissues, potentially improving efficacy or reducing liver-related toxicity. Toward this purpose, our Nanoprimer is built from precisely engineered lipid-based nanoparticles with a specific biodegradable composition and purpose-built to be a few hundred nanometers in diameter, establishing the right combination of size, shape, charge and rigidity to support its intended function.</w:t>
      </w:r>
    </w:p>
    <w:p>
      <w:pPr>
        <w:spacing w:after="0" w:line="72" w:lineRule="exact"/>
        <w:rPr>
          <w:sz w:val="20"/>
          <w:szCs w:val="20"/>
          <w:color w:val="auto"/>
        </w:rPr>
      </w:pPr>
    </w:p>
    <w:p>
      <w:pPr>
        <w:ind w:left="320" w:right="299"/>
        <w:spacing w:after="0" w:line="254" w:lineRule="auto"/>
        <w:rPr>
          <w:sz w:val="20"/>
          <w:szCs w:val="20"/>
          <w:color w:val="auto"/>
        </w:rPr>
      </w:pPr>
      <w:r>
        <w:rPr>
          <w:rFonts w:ascii="Times New Roman" w:cs="Times New Roman" w:eastAsia="Times New Roman" w:hAnsi="Times New Roman"/>
          <w:sz w:val="18"/>
          <w:szCs w:val="18"/>
          <w:color w:val="auto"/>
        </w:rPr>
        <w:t>We utilize five patents in respect of our Curadigm platform. These composition-of-matter and method of use claims provide global coverage, and include: an umbrella patent for composition including a Nanoprimer in combination with a therapeutic to improve treatment efficacy (granted in 14 countries, including USA and Japan, with 9 countries and the EU ongoing), and patents relating to: a double Nanoprimer (granted in US, Japan and the EU), a mAb specific Nanoprimer (granted in the US and Japan and ongoing in the EU), therapeutic agent unpegylation (granted in the US and 5 additional counties; ongoing in 15 countries and the EU) and a small molecule Nanoprimer (granted in the US, Japan and the EU). In November 2025, we announced the filing of four new patent applications to cover the Curadigm platform and potential product applications.</w:t>
      </w:r>
    </w:p>
    <w:p>
      <w:pPr>
        <w:spacing w:after="0" w:line="84" w:lineRule="exact"/>
        <w:rPr>
          <w:sz w:val="20"/>
          <w:szCs w:val="20"/>
          <w:color w:val="auto"/>
        </w:rPr>
      </w:pPr>
    </w:p>
    <w:p>
      <w:pPr>
        <w:ind w:left="320" w:right="299"/>
        <w:spacing w:after="0" w:line="261" w:lineRule="auto"/>
        <w:rPr>
          <w:sz w:val="20"/>
          <w:szCs w:val="20"/>
          <w:color w:val="auto"/>
        </w:rPr>
      </w:pPr>
      <w:r>
        <w:rPr>
          <w:rFonts w:ascii="Times New Roman" w:cs="Times New Roman" w:eastAsia="Times New Roman" w:hAnsi="Times New Roman"/>
          <w:sz w:val="18"/>
          <w:szCs w:val="18"/>
          <w:color w:val="auto"/>
        </w:rPr>
        <w:t>We believe that our Nanoprimer’s universal mode of action positions it for broad applications, including in combination with both approved therapeutics and early stage candidates in clinical trials, to support the development of new products and platforms, as well as potentially in connection with therapeutic products that previously faced lack of efficacy or hepatoxicity challenges in connection with their administration.</w:t>
      </w:r>
    </w:p>
    <w:p>
      <w:pPr>
        <w:spacing w:after="0" w:line="70" w:lineRule="exact"/>
        <w:rPr>
          <w:sz w:val="20"/>
          <w:szCs w:val="20"/>
          <w:color w:val="auto"/>
        </w:rPr>
      </w:pPr>
    </w:p>
    <w:p>
      <w:pPr>
        <w:ind w:left="320" w:right="679"/>
        <w:spacing w:after="0" w:line="267" w:lineRule="auto"/>
        <w:rPr>
          <w:sz w:val="20"/>
          <w:szCs w:val="20"/>
          <w:color w:val="auto"/>
        </w:rPr>
      </w:pPr>
      <w:r>
        <w:rPr>
          <w:rFonts w:ascii="Times New Roman" w:cs="Times New Roman" w:eastAsia="Times New Roman" w:hAnsi="Times New Roman"/>
          <w:sz w:val="18"/>
          <w:szCs w:val="18"/>
          <w:color w:val="auto"/>
        </w:rPr>
        <w:t xml:space="preserve">At the 2025 Partnership Opportunities in Drug Delivery conference, we presented new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evaluating the Nanoprimer in combination with nucleic acid-based and peptide-based therapeutic vaccines. The preclinical data demonstrated that the Nanoprimer:</w:t>
      </w:r>
    </w:p>
    <w:p>
      <w:pPr>
        <w:spacing w:after="0" w:line="67" w:lineRule="exact"/>
        <w:rPr>
          <w:sz w:val="20"/>
          <w:szCs w:val="20"/>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Boosted acute immune response following vaccination with mRNA lipoplex vaccines;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memory immune response with mRNA lipoplex vaccines;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results observed with peptide-based vaccines.</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 Vivo </w:t>
      </w:r>
      <w:r>
        <w:rPr>
          <w:rFonts w:ascii="Times New Roman" w:cs="Times New Roman" w:eastAsia="Times New Roman" w:hAnsi="Times New Roman"/>
          <w:sz w:val="18"/>
          <w:szCs w:val="18"/>
          <w:b w:val="1"/>
          <w:bCs w:val="1"/>
          <w:color w:val="auto"/>
        </w:rPr>
        <w:t>pre-clinical proof-of-concept with mRNA-based Therapeutic Vaccines</w:t>
      </w:r>
    </w:p>
    <w:p>
      <w:pPr>
        <w:sectPr>
          <w:pgSz w:w="11900" w:h="16838" w:orient="portrait"/>
          <w:cols w:equalWidth="0" w:num="1">
            <w:col w:w="9019"/>
          </w:cols>
          <w:pgMar w:left="1440" w:top="263" w:right="1440" w:bottom="1440" w:gutter="0" w:footer="0" w:header="0"/>
        </w:sectPr>
      </w:pPr>
    </w:p>
    <w:p>
      <w:pPr>
        <w:spacing w:after="0" w:line="185" w:lineRule="exact"/>
        <w:rPr>
          <w:sz w:val="20"/>
          <w:szCs w:val="20"/>
          <w:color w:val="auto"/>
        </w:rPr>
      </w:pPr>
    </w:p>
    <w:p>
      <w:pPr>
        <w:jc w:val="center"/>
        <w:ind w:left="440"/>
        <w:spacing w:after="0" w:line="268" w:lineRule="auto"/>
        <w:rPr>
          <w:sz w:val="20"/>
          <w:szCs w:val="20"/>
          <w:color w:val="auto"/>
        </w:rPr>
      </w:pPr>
      <w:r>
        <w:rPr>
          <w:rFonts w:ascii="Times New Roman" w:cs="Times New Roman" w:eastAsia="Times New Roman" w:hAnsi="Times New Roman"/>
          <w:sz w:val="18"/>
          <w:szCs w:val="18"/>
          <w:color w:val="auto"/>
        </w:rPr>
        <w:t xml:space="preserve">Nanoprimer enhances </w:t>
      </w:r>
      <w:r>
        <w:rPr>
          <w:rFonts w:ascii="Times New Roman" w:cs="Times New Roman" w:eastAsia="Times New Roman" w:hAnsi="Times New Roman"/>
          <w:sz w:val="18"/>
          <w:szCs w:val="18"/>
          <w:b w:val="1"/>
          <w:bCs w:val="1"/>
          <w:color w:val="auto"/>
        </w:rPr>
        <w:t>mRNA lipoplex vaccine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priming</w:t>
      </w:r>
      <w:r>
        <w:rPr>
          <w:rFonts w:ascii="Times New Roman" w:cs="Times New Roman" w:eastAsia="Times New Roman" w:hAnsi="Times New Roman"/>
          <w:sz w:val="18"/>
          <w:szCs w:val="18"/>
          <w:color w:val="auto"/>
        </w:rPr>
        <w:t>, boosting effector T cell response and IFN-γ</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39"/>
        <w:spacing w:after="0" w:line="317" w:lineRule="auto"/>
        <w:rPr>
          <w:sz w:val="20"/>
          <w:szCs w:val="20"/>
          <w:color w:val="auto"/>
        </w:rPr>
      </w:pPr>
      <w:r>
        <w:rPr>
          <w:rFonts w:ascii="Times New Roman" w:cs="Times New Roman" w:eastAsia="Times New Roman" w:hAnsi="Times New Roman"/>
          <w:sz w:val="17"/>
          <w:szCs w:val="17"/>
          <w:color w:val="auto"/>
        </w:rPr>
        <w:t xml:space="preserve">Nanoprimer </w:t>
      </w:r>
      <w:r>
        <w:rPr>
          <w:rFonts w:ascii="Times New Roman" w:cs="Times New Roman" w:eastAsia="Times New Roman" w:hAnsi="Times New Roman"/>
          <w:sz w:val="17"/>
          <w:szCs w:val="17"/>
          <w:b w:val="1"/>
          <w:bCs w:val="1"/>
          <w:color w:val="auto"/>
        </w:rPr>
        <w:t>improves the memory vaccination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mRNA lipoplex vaccines </w:t>
      </w:r>
      <w:r>
        <w:rPr>
          <w:rFonts w:ascii="Times New Roman" w:cs="Times New Roman" w:eastAsia="Times New Roman" w:hAnsi="Times New Roman"/>
          <w:sz w:val="17"/>
          <w:szCs w:val="17"/>
          <w:color w:val="auto"/>
        </w:rPr>
        <w:t>with a strong T-cell response</w:t>
      </w:r>
    </w:p>
    <w:p>
      <w:pPr>
        <w:spacing w:after="0" w:line="376" w:lineRule="exact"/>
        <w:rPr>
          <w:sz w:val="20"/>
          <w:szCs w:val="20"/>
          <w:color w:val="auto"/>
        </w:rPr>
      </w:pPr>
    </w:p>
    <w:p>
      <w:pPr>
        <w:sectPr>
          <w:pgSz w:w="11900" w:h="16838" w:orient="portrait"/>
          <w:cols w:equalWidth="0" w:num="2">
            <w:col w:w="4280" w:space="400"/>
            <w:col w:w="433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530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5304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 Vivo </w:t>
      </w:r>
      <w:r>
        <w:rPr>
          <w:rFonts w:ascii="Times New Roman" w:cs="Times New Roman" w:eastAsia="Times New Roman" w:hAnsi="Times New Roman"/>
          <w:sz w:val="17"/>
          <w:szCs w:val="17"/>
          <w:b w:val="1"/>
          <w:bCs w:val="1"/>
          <w:color w:val="auto"/>
        </w:rPr>
        <w:t>pre-clinical proof-of-concept with Peptide-based Therapeutic Vaccines</w:t>
      </w:r>
    </w:p>
    <w:p>
      <w:pPr>
        <w:sectPr>
          <w:pgSz w:w="11900" w:h="16838" w:orient="portrait"/>
          <w:cols w:equalWidth="0" w:num="1">
            <w:col w:w="9019"/>
          </w:cols>
          <w:pgMar w:left="1440" w:top="263" w:right="1440" w:bottom="1440" w:gutter="0" w:footer="0" w:header="0"/>
        </w:sectPr>
      </w:pPr>
    </w:p>
    <w:p>
      <w:pPr>
        <w:spacing w:after="0" w:line="196" w:lineRule="exact"/>
        <w:rPr>
          <w:sz w:val="20"/>
          <w:szCs w:val="20"/>
          <w:color w:val="auto"/>
        </w:rPr>
      </w:pPr>
    </w:p>
    <w:p>
      <w:pPr>
        <w:jc w:val="center"/>
        <w:ind w:left="380"/>
        <w:spacing w:after="0" w:line="268" w:lineRule="auto"/>
        <w:rPr>
          <w:sz w:val="20"/>
          <w:szCs w:val="20"/>
          <w:color w:val="auto"/>
        </w:rPr>
      </w:pPr>
      <w:r>
        <w:rPr>
          <w:rFonts w:ascii="Times New Roman" w:cs="Times New Roman" w:eastAsia="Times New Roman" w:hAnsi="Times New Roman"/>
          <w:sz w:val="18"/>
          <w:szCs w:val="18"/>
          <w:color w:val="auto"/>
        </w:rPr>
        <w:t xml:space="preserve">Nanoprimer enables </w:t>
      </w:r>
      <w:r>
        <w:rPr>
          <w:rFonts w:ascii="Times New Roman" w:cs="Times New Roman" w:eastAsia="Times New Roman" w:hAnsi="Times New Roman"/>
          <w:sz w:val="18"/>
          <w:szCs w:val="18"/>
          <w:b w:val="1"/>
          <w:bCs w:val="1"/>
          <w:color w:val="auto"/>
        </w:rPr>
        <w:t>OVA-peptide liposome vaccine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priming, </w:t>
      </w:r>
      <w:r>
        <w:rPr>
          <w:rFonts w:ascii="Times New Roman" w:cs="Times New Roman" w:eastAsia="Times New Roman" w:hAnsi="Times New Roman"/>
          <w:sz w:val="18"/>
          <w:szCs w:val="18"/>
          <w:color w:val="auto"/>
        </w:rPr>
        <w:t>inducing</w:t>
      </w:r>
      <w:r>
        <w:rPr>
          <w:rFonts w:ascii="Times New Roman" w:cs="Times New Roman" w:eastAsia="Times New Roman" w:hAnsi="Times New Roman"/>
          <w:sz w:val="18"/>
          <w:szCs w:val="18"/>
          <w:b w:val="1"/>
          <w:bCs w:val="1"/>
          <w:color w:val="auto"/>
        </w:rPr>
        <w:t xml:space="preserve"> strong T-cell response </w:t>
      </w:r>
      <w:r>
        <w:rPr>
          <w:rFonts w:ascii="Times New Roman" w:cs="Times New Roman" w:eastAsia="Times New Roman" w:hAnsi="Times New Roman"/>
          <w:sz w:val="18"/>
          <w:szCs w:val="18"/>
          <w:color w:val="auto"/>
        </w:rPr>
        <w:t>(Day 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IFN-γ production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339"/>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Robust vaccination and long-term memory response </w:t>
      </w:r>
      <w:r>
        <w:rPr>
          <w:rFonts w:ascii="Times New Roman" w:cs="Times New Roman" w:eastAsia="Times New Roman" w:hAnsi="Times New Roman"/>
          <w:sz w:val="17"/>
          <w:szCs w:val="17"/>
          <w:color w:val="auto"/>
        </w:rPr>
        <w:t>are observed when the Nanoprimer is administered</w:t>
      </w:r>
    </w:p>
    <w:p>
      <w:pPr>
        <w:spacing w:after="0" w:line="376" w:lineRule="exact"/>
        <w:rPr>
          <w:sz w:val="20"/>
          <w:szCs w:val="20"/>
          <w:color w:val="auto"/>
        </w:rPr>
      </w:pPr>
    </w:p>
    <w:p>
      <w:pPr>
        <w:sectPr>
          <w:pgSz w:w="11900" w:h="16838" w:orient="portrait"/>
          <w:cols w:equalWidth="0" w:num="2">
            <w:col w:w="4340" w:space="340"/>
            <w:col w:w="433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Curadigm Preclinical Data</w:t>
      </w:r>
    </w:p>
    <w:p>
      <w:pPr>
        <w:spacing w:after="0" w:line="119" w:lineRule="exact"/>
        <w:rPr>
          <w:sz w:val="20"/>
          <w:szCs w:val="20"/>
          <w:color w:val="auto"/>
        </w:rPr>
      </w:pPr>
    </w:p>
    <w:p>
      <w:pPr>
        <w:ind w:left="320" w:right="299"/>
        <w:spacing w:after="0" w:line="254" w:lineRule="auto"/>
        <w:rPr>
          <w:sz w:val="20"/>
          <w:szCs w:val="20"/>
          <w:color w:val="auto"/>
        </w:rPr>
      </w:pPr>
      <w:r>
        <w:rPr>
          <w:rFonts w:ascii="Times New Roman" w:cs="Times New Roman" w:eastAsia="Times New Roman" w:hAnsi="Times New Roman"/>
          <w:sz w:val="18"/>
          <w:szCs w:val="18"/>
          <w:color w:val="auto"/>
        </w:rPr>
        <w:t>In April 2026, we reported new preclinical data demonstrating that Nanoprimer technology may enhance the performance of lipid nanoparticle-delivered recombinant DNA (“LNP-DNA”) immunotherapies. In a mouse model, pre-treatment with nanoprimer prior to LNP-DNA administration increased systemic bioavailability by reducing rapid liver clearance, a key limitation of LNP-delivered therapies. The approach also decreased hepatic exposure and improved tolerability, suggesting a reduction in liver-related toxicity. Additionally, Nanoprimer pre-treatment mitigated inflammatory responses associated with activation of the cGAS-STING pathway. These findings indicate that Nanoprimer may improve the therapeutic index of LNP-DNA by enhancing circulation and reducing adverse effects. The data support further evaluation of Nanoprimer in combination with advanced LNP-delivered therapeutics across multiple delivery platforms.</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9"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as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under the laws of the French Republic on March 4, 2003. We are registered at the </w:t>
      </w:r>
      <w:r>
        <w:rPr>
          <w:rFonts w:ascii="Times New Roman" w:cs="Times New Roman" w:eastAsia="Times New Roman" w:hAnsi="Times New Roman"/>
          <w:sz w:val="18"/>
          <w:szCs w:val="18"/>
          <w:i w:val="1"/>
          <w:iCs w:val="1"/>
          <w:color w:val="auto"/>
        </w:rPr>
        <w:t>Paris Registre du Commerce et des Sociétés</w:t>
      </w:r>
      <w:r>
        <w:rPr>
          <w:rFonts w:ascii="Times New Roman" w:cs="Times New Roman" w:eastAsia="Times New Roman" w:hAnsi="Times New Roman"/>
          <w:sz w:val="18"/>
          <w:szCs w:val="18"/>
          <w:color w:val="auto"/>
        </w:rPr>
        <w:t xml:space="preserve"> under the number 447 521 600. Our principal executive offices are located at 60, rue de Wattignies, 75012 Paris, France, and our telephone number is +33 1 40 26 04 70. Our agent for service of process in the United States is our U.S. subsidiary, Nanobiotix Corporation. Our ordinary shares began trading on the regulated market of Euronext in Paris in October 2012.</w:t>
      </w:r>
    </w:p>
    <w:p>
      <w:pPr>
        <w:spacing w:after="0" w:line="77" w:lineRule="exact"/>
        <w:rPr>
          <w:sz w:val="20"/>
          <w:szCs w:val="20"/>
          <w:color w:val="auto"/>
        </w:rPr>
      </w:pPr>
    </w:p>
    <w:p>
      <w:pPr>
        <w:ind w:left="320" w:right="479"/>
        <w:spacing w:after="0" w:line="281" w:lineRule="auto"/>
        <w:rPr>
          <w:sz w:val="20"/>
          <w:szCs w:val="20"/>
          <w:color w:val="auto"/>
        </w:rPr>
      </w:pPr>
      <w:r>
        <w:rPr>
          <w:rFonts w:ascii="Times New Roman" w:cs="Times New Roman" w:eastAsia="Times New Roman" w:hAnsi="Times New Roman"/>
          <w:sz w:val="17"/>
          <w:szCs w:val="17"/>
          <w:color w:val="auto"/>
        </w:rPr>
        <w:t>Our ADSs began trading on the Nasdaq Global Select Market in December 2020. We also maintain a website at http://www.nanobiotix.com. The reference to our website is an inactive textual reference only and the information contained in, or that can be accessed through, our website or any other website cited in this prospectus supplement or the accompanying prospectus is not a part of this prospectus supplement or the accompanying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 w:name="page17"/>
    <w:bookmarkEnd w:id="1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847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78479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13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Global offering</w:t>
      </w:r>
      <w:r>
        <w:rPr>
          <w:sz w:val="20"/>
          <w:szCs w:val="20"/>
          <w:color w:val="auto"/>
        </w:rPr>
        <w:tab/>
      </w:r>
      <w:r>
        <w:rPr>
          <w:rFonts w:ascii="Times New Roman" w:cs="Times New Roman" w:eastAsia="Times New Roman" w:hAnsi="Times New Roman"/>
          <w:sz w:val="17"/>
          <w:szCs w:val="17"/>
          <w:color w:val="auto"/>
        </w:rPr>
        <w:t>The global offering comprises the U.S. offering and the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European offering. The total number of ordinary shares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 the form of ADSs) in the U.S. offering and ordinary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shares in the European offering is subject to reallocation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between them.</w:t>
      </w:r>
    </w:p>
    <w:p>
      <w:pPr>
        <w:spacing w:after="0" w:line="135" w:lineRule="exact"/>
        <w:rPr>
          <w:sz w:val="20"/>
          <w:szCs w:val="20"/>
          <w:color w:val="auto"/>
        </w:rPr>
      </w:pPr>
    </w:p>
    <w:p>
      <w:pPr>
        <w:ind w:left="13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U.S. offering</w:t>
      </w:r>
      <w:r>
        <w:rPr>
          <w:sz w:val="20"/>
          <w:szCs w:val="20"/>
          <w:color w:val="auto"/>
        </w:rPr>
        <w:tab/>
      </w:r>
      <w:r>
        <w:rPr>
          <w:rFonts w:ascii="Times New Roman" w:cs="Times New Roman" w:eastAsia="Times New Roman" w:hAnsi="Times New Roman"/>
          <w:sz w:val="17"/>
          <w:szCs w:val="17"/>
          <w:color w:val="auto"/>
        </w:rPr>
        <w:t>225,373 ordinary shares in the form of ADSs, each ADS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representing one ordinary share.</w:t>
      </w:r>
    </w:p>
    <w:p>
      <w:pPr>
        <w:spacing w:after="0" w:line="122" w:lineRule="exact"/>
        <w:rPr>
          <w:sz w:val="20"/>
          <w:szCs w:val="20"/>
          <w:color w:val="auto"/>
        </w:rPr>
      </w:pPr>
    </w:p>
    <w:p>
      <w:pPr>
        <w:ind w:left="13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European offering</w:t>
      </w:r>
      <w:r>
        <w:rPr>
          <w:sz w:val="20"/>
          <w:szCs w:val="20"/>
          <w:color w:val="auto"/>
        </w:rPr>
        <w:tab/>
      </w:r>
      <w:r>
        <w:rPr>
          <w:rFonts w:ascii="Times New Roman" w:cs="Times New Roman" w:eastAsia="Times New Roman" w:hAnsi="Times New Roman"/>
          <w:sz w:val="17"/>
          <w:szCs w:val="17"/>
          <w:color w:val="auto"/>
        </w:rPr>
        <w:t>1,959,289 ordinary shares and 345,099 pre-funded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warrants to purchase up to 345,099 ordinary shares.</w:t>
      </w:r>
    </w:p>
    <w:p>
      <w:pPr>
        <w:sectPr>
          <w:pgSz w:w="11900" w:h="16838" w:orient="portrait"/>
          <w:cols w:equalWidth="0" w:num="1">
            <w:col w:w="11020"/>
          </w:cols>
          <w:pgMar w:left="440" w:top="263" w:right="439" w:bottom="1440" w:gutter="0" w:footer="0" w:header="0"/>
        </w:sectPr>
      </w:pP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(including in the form of ADSs) to be outstanding after this offering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300"/>
        <w:spacing w:after="0" w:line="256" w:lineRule="auto"/>
        <w:rPr>
          <w:sz w:val="20"/>
          <w:szCs w:val="20"/>
          <w:color w:val="auto"/>
        </w:rPr>
      </w:pPr>
      <w:r>
        <w:rPr>
          <w:rFonts w:ascii="Times New Roman" w:cs="Times New Roman" w:eastAsia="Times New Roman" w:hAnsi="Times New Roman"/>
          <w:sz w:val="18"/>
          <w:szCs w:val="18"/>
          <w:color w:val="auto"/>
        </w:rPr>
        <w:t>The underwriters have an option for a period of 30 days from the date of the underwriting agreement to be entered into between us and the underwriters to purchase up to an aggregate of 33,805 additional ordinary shares (to be delivered in the form of ADSs) at the offering price.</w:t>
      </w:r>
    </w:p>
    <w:p>
      <w:pPr>
        <w:spacing w:after="0" w:line="295" w:lineRule="exact"/>
        <w:rPr>
          <w:sz w:val="20"/>
          <w:szCs w:val="20"/>
          <w:color w:val="auto"/>
        </w:rPr>
      </w:pPr>
    </w:p>
    <w:p>
      <w:pPr>
        <w:ind w:right="1420"/>
        <w:spacing w:after="0" w:line="256" w:lineRule="auto"/>
        <w:rPr>
          <w:sz w:val="20"/>
          <w:szCs w:val="20"/>
          <w:color w:val="auto"/>
        </w:rPr>
      </w:pPr>
      <w:r>
        <w:rPr>
          <w:rFonts w:ascii="Times New Roman" w:cs="Times New Roman" w:eastAsia="Times New Roman" w:hAnsi="Times New Roman"/>
          <w:sz w:val="18"/>
          <w:szCs w:val="18"/>
          <w:color w:val="auto"/>
        </w:rPr>
        <w:t>2,184,662 ordinary shares (including in the form of ADSs) or up to 2,218,467 ordinary shares (including in the form of ADSs), if the underwriters exercise in full their options to purchase additional ordinary shares, in each case assuming no exercise of the pre-funded warrants.</w:t>
      </w:r>
    </w:p>
    <w:p>
      <w:pPr>
        <w:spacing w:after="0" w:line="116" w:lineRule="exact"/>
        <w:rPr>
          <w:sz w:val="20"/>
          <w:szCs w:val="20"/>
          <w:color w:val="auto"/>
        </w:rPr>
      </w:pPr>
    </w:p>
    <w:p>
      <w:pPr>
        <w:sectPr>
          <w:pgSz w:w="11900" w:h="16838" w:orient="portrait"/>
          <w:cols w:equalWidth="0" w:num="2">
            <w:col w:w="5220" w:space="42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Purchasers of ADSs in the U.S. offering will have the</w:t>
            </w:r>
          </w:p>
        </w:tc>
        <w:tc>
          <w:tcPr>
            <w:tcW w:w="104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rights of an ADS holder as provided in the deposit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agreement among us, the depositary and all holders and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beneficial owners of ADSs issued thereunder. To better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understand the terms of the ADSs, you should carefully</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read the section in the accompanying prospectus titled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“Description of American Depositary Shares.” We also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encourage you to read the deposit agreement, which is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filed as an exhibit to the registration statement that</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includes the accompanying prospectus.</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Pre-Funded Warrants</w:t>
            </w: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We are also offering to certain purchasers pre-funded</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warrants, each exercisable for one ordinary share. The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purchase price of each pre-funded warrant to purchase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one ordinary share is €33.57 (which is equal to the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offering price per ordinary share to be sold in this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offering minus €0.03, the exercise price per ordinary</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share of each such pre-funded warrant). Each pre-funded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warrant will be immediately exercisable at any time at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option of the holder until such pre-funded warrant is</w:t>
            </w:r>
          </w:p>
        </w:tc>
        <w:tc>
          <w:tcPr>
            <w:tcW w:w="104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exercised in full during a period of ten years from their</w:t>
            </w:r>
          </w:p>
        </w:tc>
        <w:tc>
          <w:tcPr>
            <w:tcW w:w="1040" w:type="dxa"/>
            <w:vAlign w:val="bottom"/>
          </w:tcPr>
          <w:p>
            <w:pPr>
              <w:spacing w:after="0"/>
              <w:rPr>
                <w:sz w:val="18"/>
                <w:szCs w:val="18"/>
                <w:color w:val="auto"/>
              </w:rPr>
            </w:pPr>
          </w:p>
        </w:tc>
      </w:tr>
      <w:tr>
        <w:trPr>
          <w:trHeight w:val="218"/>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xml:space="preserve">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 will be prohibited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from exercising pre-funded warrants for ordinary shares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if, as a result of such exercise, the holder, together with</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its affiliates and attribution parties under French law,</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would beneficially own more than a cap on beneficial</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ownership to be set by such holder of the total number</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 ordinary shares then issued and outstanding.</w:t>
            </w:r>
          </w:p>
        </w:tc>
        <w:tc>
          <w:tcPr>
            <w:tcW w:w="1040" w:type="dxa"/>
            <w:vAlign w:val="bottom"/>
          </w:tcPr>
          <w:p>
            <w:pPr>
              <w:spacing w:after="0"/>
              <w:rPr>
                <w:sz w:val="20"/>
                <w:szCs w:val="20"/>
                <w:color w:val="auto"/>
              </w:rPr>
            </w:pPr>
          </w:p>
        </w:tc>
      </w:tr>
      <w:tr>
        <w:trPr>
          <w:trHeight w:val="226"/>
        </w:trPr>
        <w:tc>
          <w:tcPr>
            <w:tcW w:w="1080" w:type="dxa"/>
            <w:vAlign w:val="bottom"/>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S-11</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1704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17042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ADS Depositary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The Nasdaq Global Select Market symbol for our ADSs</w:t>
      </w:r>
    </w:p>
    <w:p>
      <w:pPr>
        <w:spacing w:after="0" w:line="47" w:lineRule="exact"/>
        <w:rPr>
          <w:sz w:val="20"/>
          <w:szCs w:val="20"/>
          <w:color w:val="auto"/>
        </w:rPr>
      </w:pPr>
    </w:p>
    <w:p>
      <w:pPr>
        <w:ind w:left="480" w:right="2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Regulated market of Euronext in Paris trading symbol for our ordinary shares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any such market to develop. We do not intend to apply for the listing of the pre-funded warrants on any domestic or foreign securities exchange or nationally recognized trading system. Without an active trading market, we expect the liquidity of the pre-funded warrants will be limited. This prospectus supplement also relates to the offering of the ordinary shares issuable upon exercise of the pre-funded warrants.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158" w:lineRule="exact"/>
        <w:rPr>
          <w:sz w:val="20"/>
          <w:szCs w:val="20"/>
          <w:color w:val="auto"/>
        </w:rPr>
      </w:pPr>
    </w:p>
    <w:p>
      <w:pPr>
        <w:ind w:right="299"/>
        <w:spacing w:after="0" w:line="255" w:lineRule="auto"/>
        <w:rPr>
          <w:sz w:val="20"/>
          <w:szCs w:val="20"/>
          <w:color w:val="auto"/>
        </w:rPr>
      </w:pPr>
      <w:r>
        <w:rPr>
          <w:rFonts w:ascii="Times New Roman" w:cs="Times New Roman" w:eastAsia="Times New Roman" w:hAnsi="Times New Roman"/>
          <w:sz w:val="18"/>
          <w:szCs w:val="18"/>
          <w:color w:val="auto"/>
        </w:rPr>
        <w:t>We currently expect to use the net proceeds from this offering to accelerate our development programs, including to: (1) support the development and advancement of JNJ-1900 (NBTXR3), (2) advance our Nanoprimer and other platforms, and (3) support general corporate purposes. See “Use of Proceeds” for additional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“NANO”</w:t>
      </w:r>
    </w:p>
    <w:p>
      <w:pPr>
        <w:spacing w:after="0" w:line="158" w:lineRule="exact"/>
        <w:rPr>
          <w:sz w:val="20"/>
          <w:szCs w:val="20"/>
          <w:color w:val="auto"/>
        </w:rPr>
      </w:pPr>
    </w:p>
    <w:p>
      <w:pPr>
        <w:ind w:right="279"/>
        <w:spacing w:after="0" w:line="252" w:lineRule="auto"/>
        <w:rPr>
          <w:sz w:val="20"/>
          <w:szCs w:val="20"/>
          <w:color w:val="auto"/>
        </w:rPr>
      </w:pPr>
      <w:r>
        <w:rPr>
          <w:rFonts w:ascii="Times New Roman" w:cs="Times New Roman" w:eastAsia="Times New Roman" w:hAnsi="Times New Roman"/>
          <w:sz w:val="18"/>
          <w:szCs w:val="18"/>
          <w:color w:val="auto"/>
        </w:rPr>
        <w:t>For the U.S. offering, we expect to deliver the ADSs on or about the date of delivery specified on the cover page of this prospectus supplement, which is the second business day following the date of this prospectus supplement (such settlement cycle being referred to as “T+2”). Under Rule 15c6-1 of the Securities Exchange Act of 1934, as amended (the “Exchange Act”), trades in the secondary market generally are required to settle in one business day unless the parties to any such trade expressly agree otherwise. Accordingly, purchasers who wish to trade the ADSs on any date prior to the first business day before delivery of the ADSs will be required, by virtue of the fact that the ADSs initially will settle in T+2 to specify an alternative settlement cycle at the time of any such trade to prevent a failed settlement. Purchasers of the ADSs who wish to trade the ADSs prior to the date of delivery of the ADSs should consult their own advisors.</w:t>
      </w:r>
    </w:p>
    <w:p>
      <w:pPr>
        <w:spacing w:after="0" w:line="84" w:lineRule="exact"/>
        <w:rPr>
          <w:sz w:val="20"/>
          <w:szCs w:val="20"/>
          <w:color w:val="auto"/>
        </w:rPr>
      </w:pPr>
    </w:p>
    <w:p>
      <w:pPr>
        <w:ind w:right="459"/>
        <w:spacing w:after="0" w:line="256" w:lineRule="auto"/>
        <w:rPr>
          <w:sz w:val="20"/>
          <w:szCs w:val="20"/>
          <w:color w:val="auto"/>
        </w:rPr>
      </w:pPr>
      <w:r>
        <w:rPr>
          <w:rFonts w:ascii="Times New Roman" w:cs="Times New Roman" w:eastAsia="Times New Roman" w:hAnsi="Times New Roman"/>
          <w:sz w:val="18"/>
          <w:szCs w:val="18"/>
          <w:color w:val="auto"/>
        </w:rPr>
        <w:t>For the European offering, delivery of the ordinary shares and pre-funded warrants is expected to be made on or about May 26, 2026 through the book-entry facilities of Euroclear France or, for the pre-funded warrants, by credit to the account of the holder(s) held by the French registrar.</w:t>
      </w:r>
    </w:p>
    <w:p>
      <w:pPr>
        <w:spacing w:after="0" w:line="200" w:lineRule="exact"/>
        <w:rPr>
          <w:sz w:val="20"/>
          <w:szCs w:val="20"/>
          <w:color w:val="auto"/>
        </w:rPr>
      </w:pPr>
    </w:p>
    <w:p>
      <w:pPr>
        <w:sectPr>
          <w:pgSz w:w="11900" w:h="16838" w:orient="portrait"/>
          <w:cols w:equalWidth="0" w:num="2">
            <w:col w:w="4100" w:space="540"/>
            <w:col w:w="4379"/>
          </w:cols>
          <w:pgMar w:left="1440" w:top="263" w:right="1440"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796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4796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Before deciding whether to invest in our securities, you</w:t>
            </w:r>
          </w:p>
        </w:tc>
      </w:tr>
      <w:tr>
        <w:trPr>
          <w:trHeight w:val="216"/>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should carefully consider the risks described under</w:t>
            </w:r>
          </w:p>
        </w:tc>
      </w:tr>
      <w:tr>
        <w:trPr>
          <w:trHeight w:val="194"/>
        </w:trPr>
        <w:tc>
          <w:tcPr>
            <w:tcW w:w="2640" w:type="dxa"/>
            <w:vAlign w:val="bottom"/>
          </w:tcPr>
          <w:p>
            <w:pPr>
              <w:spacing w:after="0"/>
              <w:rPr>
                <w:sz w:val="16"/>
                <w:szCs w:val="16"/>
                <w:color w:val="auto"/>
              </w:rPr>
            </w:pPr>
          </w:p>
        </w:tc>
        <w:tc>
          <w:tcPr>
            <w:tcW w:w="5740" w:type="dxa"/>
            <w:vAlign w:val="bottom"/>
            <w:gridSpan w:val="3"/>
          </w:tcPr>
          <w:p>
            <w:pPr>
              <w:ind w:left="1680"/>
              <w:spacing w:after="0" w:line="194" w:lineRule="exact"/>
              <w:rPr>
                <w:sz w:val="20"/>
                <w:szCs w:val="20"/>
                <w:color w:val="auto"/>
              </w:rPr>
            </w:pPr>
            <w:r>
              <w:rPr>
                <w:rFonts w:ascii="Times New Roman" w:cs="Times New Roman" w:eastAsia="Times New Roman" w:hAnsi="Times New Roman"/>
                <w:sz w:val="18"/>
                <w:szCs w:val="18"/>
                <w:color w:val="auto"/>
              </w:rPr>
              <w:t>“Risk Factors” beginning on page S-</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of this</w:t>
            </w:r>
          </w:p>
        </w:tc>
      </w:tr>
      <w:tr>
        <w:trPr>
          <w:trHeight w:val="20"/>
        </w:trPr>
        <w:tc>
          <w:tcPr>
            <w:tcW w:w="26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prospectus supplement, as well as the other information</w:t>
            </w:r>
          </w:p>
        </w:tc>
      </w:tr>
      <w:tr>
        <w:trPr>
          <w:trHeight w:val="216"/>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included or incorporated by reference into this</w:t>
            </w:r>
          </w:p>
        </w:tc>
      </w:tr>
      <w:tr>
        <w:trPr>
          <w:trHeight w:val="216"/>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prospectus supplement and the accompanying</w:t>
            </w:r>
          </w:p>
        </w:tc>
      </w:tr>
      <w:tr>
        <w:trPr>
          <w:trHeight w:val="216"/>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prospectus, including our Annual Report and the other</w:t>
            </w:r>
          </w:p>
        </w:tc>
      </w:tr>
      <w:tr>
        <w:trPr>
          <w:trHeight w:val="216"/>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w w:val="99"/>
              </w:rPr>
              <w:t>documents incorporated by reference herein and therein,</w:t>
            </w:r>
          </w:p>
        </w:tc>
      </w:tr>
      <w:tr>
        <w:trPr>
          <w:trHeight w:val="216"/>
        </w:trPr>
        <w:tc>
          <w:tcPr>
            <w:tcW w:w="2640" w:type="dxa"/>
            <w:vAlign w:val="bottom"/>
          </w:tcPr>
          <w:p>
            <w:pPr>
              <w:spacing w:after="0"/>
              <w:rPr>
                <w:sz w:val="18"/>
                <w:szCs w:val="18"/>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for a discussion of risks you should carefully consider</w:t>
            </w:r>
          </w:p>
        </w:tc>
      </w:tr>
      <w:tr>
        <w:trPr>
          <w:trHeight w:val="234"/>
        </w:trPr>
        <w:tc>
          <w:tcPr>
            <w:tcW w:w="2640" w:type="dxa"/>
            <w:vAlign w:val="bottom"/>
          </w:tcPr>
          <w:p>
            <w:pPr>
              <w:spacing w:after="0"/>
              <w:rPr>
                <w:sz w:val="20"/>
                <w:szCs w:val="20"/>
                <w:color w:val="auto"/>
              </w:rPr>
            </w:pPr>
          </w:p>
        </w:tc>
        <w:tc>
          <w:tcPr>
            <w:tcW w:w="5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before deciding to invest in our securities.</w:t>
            </w:r>
          </w:p>
        </w:tc>
      </w:tr>
    </w:tbl>
    <w:p>
      <w:pPr>
        <w:spacing w:after="0" w:line="90" w:lineRule="exact"/>
        <w:rPr>
          <w:sz w:val="20"/>
          <w:szCs w:val="20"/>
          <w:color w:val="auto"/>
        </w:rPr>
      </w:pPr>
    </w:p>
    <w:p>
      <w:pPr>
        <w:ind w:left="320" w:right="579"/>
        <w:spacing w:after="0" w:line="266" w:lineRule="auto"/>
        <w:rPr>
          <w:sz w:val="20"/>
          <w:szCs w:val="20"/>
          <w:color w:val="auto"/>
        </w:rPr>
      </w:pPr>
      <w:r>
        <w:rPr>
          <w:rFonts w:ascii="Times New Roman" w:cs="Times New Roman" w:eastAsia="Times New Roman" w:hAnsi="Times New Roman"/>
          <w:sz w:val="18"/>
          <w:szCs w:val="18"/>
          <w:color w:val="auto"/>
        </w:rPr>
        <w:t>Except as otherwise noted in this prospectus supplement, the number of ordinary shares (including in the form of ADSs) that will be outstanding after this offering is based on 48,410,068 ordinary shares outstanding as of December 31, 2025, and excludes:</w:t>
      </w:r>
    </w:p>
    <w:p>
      <w:pPr>
        <w:spacing w:after="0" w:line="68" w:lineRule="exact"/>
        <w:rPr>
          <w:sz w:val="20"/>
          <w:szCs w:val="20"/>
          <w:color w:val="auto"/>
        </w:rPr>
      </w:pPr>
    </w:p>
    <w:p>
      <w:pPr>
        <w:jc w:val="both"/>
        <w:ind w:left="1020" w:right="7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4,985,304 new ordinary shares issuable upon the exercise of founders’ warrants (BSPCE), warrants (BSA), and stock options (OSA) granted, but not exercised, as of December 31, 2025, at a weighted average exercise price of €6.42 per share;</w:t>
      </w:r>
    </w:p>
    <w:p>
      <w:pPr>
        <w:spacing w:after="0" w:line="67" w:lineRule="exact"/>
        <w:rPr>
          <w:rFonts w:ascii="Times New Roman" w:cs="Times New Roman" w:eastAsia="Times New Roman" w:hAnsi="Times New Roman"/>
          <w:sz w:val="18"/>
          <w:szCs w:val="18"/>
          <w:color w:val="auto"/>
        </w:rPr>
      </w:pPr>
    </w:p>
    <w:p>
      <w:pPr>
        <w:ind w:left="1020" w:right="47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 ordinary shares reserved for future issuance as of December 31, 2025 under our share-based compensation plans pursuant to delegations of authority from our shareholders at the combined ordinary and extraordinary general meeting of shareholders held on May 19, 2025; and</w:t>
      </w:r>
    </w:p>
    <w:p>
      <w:pPr>
        <w:spacing w:after="0" w:line="67" w:lineRule="exact"/>
        <w:rPr>
          <w:rFonts w:ascii="Times New Roman" w:cs="Times New Roman" w:eastAsia="Times New Roman" w:hAnsi="Times New Roman"/>
          <w:sz w:val="18"/>
          <w:szCs w:val="18"/>
          <w:color w:val="auto"/>
        </w:rPr>
      </w:pPr>
    </w:p>
    <w:p>
      <w:pPr>
        <w:ind w:left="1020" w:right="539" w:hanging="350"/>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47,426,851 ordinary shares reserved as of December 31, 2025 pursuant to delegations of authority from our shareholders at the combined ordinary and extraordinary general meeting of shareholders held on May 19, 2025 for share capital increases by us through rights issuances and public or private offerings, which number of shares will be reduced by the number of shares issued in this offering.</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as otherwise noted, the information in this prospectus supplement assumes:</w:t>
      </w:r>
    </w:p>
    <w:p>
      <w:pPr>
        <w:spacing w:after="0" w:line="117" w:lineRule="exact"/>
        <w:rPr>
          <w:sz w:val="20"/>
          <w:szCs w:val="20"/>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BSPCE, BSA and OSA listed above;</w:t>
      </w:r>
    </w:p>
    <w:p>
      <w:pPr>
        <w:spacing w:after="0" w:line="117" w:lineRule="exact"/>
        <w:rPr>
          <w:rFonts w:ascii="Times New Roman" w:cs="Times New Roman" w:eastAsia="Times New Roman" w:hAnsi="Times New Roman"/>
          <w:sz w:val="18"/>
          <w:szCs w:val="18"/>
          <w:color w:val="auto"/>
        </w:rPr>
      </w:pPr>
    </w:p>
    <w:p>
      <w:pPr>
        <w:ind w:left="1020" w:right="67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issuance by us of additional ordinary shares pursuant to the exercise of the underwriters’ option to purchase additional ordinary shares in this offering; and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pre-funded warrants to be issued in this offering.</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as well as general economic and business risks, including those set forth in the section titled “Risk Factors” included in our Annual Report incorporated by reference herein, together with all of the other information in this prospectus supplement, the accompanying prospectus, and the documents incorporated by reference herein,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proceeds from this offering and may apply these proceeds in ways that may not increase the value of your investment.</w:t>
      </w:r>
    </w:p>
    <w:p>
      <w:pPr>
        <w:spacing w:after="0" w:line="5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to use the net proceeds we receive from this offering, and you will be relying on its judgment regarding the application of these proceeds. We may spend or invest these proceeds in a way with which our shareholders disagree. The failure by our management to apply these funds effectively could harm our business and financial condition. We expect to use the net proceeds from this offering as described under the heading “Use of Proceeds.” However, management may not apply such proceeds in ways that increase the value of your investment.</w:t>
      </w:r>
    </w:p>
    <w:p>
      <w:pPr>
        <w:spacing w:after="0" w:line="183"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biotechnology industry has been included in the list of critical technologies subject to foreign investment control procedure in France, which may limit the ability to certain non-French investors to participate in this or any other offering of our securities.</w:t>
      </w:r>
    </w:p>
    <w:p>
      <w:pPr>
        <w:spacing w:after="0" w:line="6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completion of any investment (i) by (a) an individual of foreign nationality, (b) any individual of French nationality not domiciled in France within the meaning of Article 4B of the French General Tax Code (</w:t>
      </w:r>
      <w:r>
        <w:rPr>
          <w:rFonts w:ascii="Times New Roman" w:cs="Times New Roman" w:eastAsia="Times New Roman" w:hAnsi="Times New Roman"/>
          <w:sz w:val="18"/>
          <w:szCs w:val="18"/>
          <w:i w:val="1"/>
          <w:iCs w:val="1"/>
          <w:color w:val="auto"/>
        </w:rPr>
        <w:t>Code général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 impôts</w:t>
      </w:r>
      <w:r>
        <w:rPr>
          <w:rFonts w:ascii="Times New Roman" w:cs="Times New Roman" w:eastAsia="Times New Roman" w:hAnsi="Times New Roman"/>
          <w:sz w:val="18"/>
          <w:szCs w:val="18"/>
          <w:color w:val="auto"/>
        </w:rPr>
        <w:t>), (c) any entity governed by foreign law, and (d) any entity governed by French law controlled by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entities referred to in (a) to (c), (ii) which would result in (a) the acquisition of control-within the meaning of Article L. 233-3 of the French Commercial Code of a French company, (b) the acquisition of all or part of a branch of activity of a French company, (c) for individuals who are not nationals of a Member State of the European Union or of a State party to the agreement on the European Economic Area that has entered into an administrative assistance agreement with France and/or are not domiciled in one of these States, or for legal entities of which at least one of the members of the control chain is not governed by the law of one of these States or is not a national and/or is not domiciled there, to cross the threshold of 25% of the voting rights of a French company, or (d) for individuals who are not nationals of a Member State of the European Union or of a State party to the agreement on the European Economic Area that has entered into an administrative assistance agreement with France and/or are not domiciled in one of these State, or for legal entities of which at least one of the members of the control chain is not governed by the law of one of these States or is not a national and/or is not domiciled there, to cross the threshold of 10% of the voting rights of a French company whose shares are admitted to trading on a regulated market and (iii) whose activities concern, even occasionally, the research and development of so-called critical technologies, such as biotechnologies, and considered essential to the protection of public health, is subject to prior authorization by the French Minister of the Economy (</w:t>
      </w:r>
      <w:r>
        <w:rPr>
          <w:rFonts w:ascii="Times New Roman" w:cs="Times New Roman" w:eastAsia="Times New Roman" w:hAnsi="Times New Roman"/>
          <w:sz w:val="18"/>
          <w:szCs w:val="18"/>
          <w:i w:val="1"/>
          <w:iCs w:val="1"/>
          <w:color w:val="auto"/>
        </w:rPr>
        <w:t>ministère de l’Économie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399"/>
        <w:spacing w:after="0" w:line="289" w:lineRule="auto"/>
        <w:rPr>
          <w:sz w:val="20"/>
          <w:szCs w:val="20"/>
          <w:color w:val="auto"/>
        </w:rPr>
      </w:pPr>
      <w:r>
        <w:rPr>
          <w:rFonts w:ascii="Times New Roman" w:cs="Times New Roman" w:eastAsia="Times New Roman" w:hAnsi="Times New Roman"/>
          <w:sz w:val="17"/>
          <w:szCs w:val="17"/>
          <w:color w:val="auto"/>
        </w:rPr>
        <w:t>The crossing of the threshold of 10% of the voting rights of French companies whose shares are admitted to trading on a regulated market is subject to a fast-track review procedure (filing of a simplified form, delay for the Minister to respond limited to 10 days, transaction deemed authorized in the absence of a response at the end of the delay).</w:t>
      </w:r>
    </w:p>
    <w:p>
      <w:pPr>
        <w:spacing w:after="0" w:line="50"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If an investment in us requiring the prior authorization of the Minister of the Economy is made without such authorization having been granted, the Minister of the Economy may cancel the transaction or order (possibly under financial penalty) the investor concerned (i) to submit an application for authorization, (ii) to have the previous situation restored at its own expense or (iii) to modify the investment. In addition, the Minister may impose undertakings and conditions on the investor (including regular reporting commitments). The investor concerned could also be declared criminally liable and be sanctioned, in particular, by exclusion from any public contract or by a fine which may not exceed the highest of the following three amounts: (i) twice the amount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investment concerned, (ii) 10% of our annual pre-tax revenues and (iii) €5 million (for a company) or €1 million (for an individual). The application of these regulations is likely to constitute a potential barrier to investments made by investors located outside the European Economic Area and could therefore limit our access to sources of financing.</w:t>
      </w:r>
    </w:p>
    <w:p>
      <w:pPr>
        <w:spacing w:after="0" w:line="338"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ordinary shares, ADSs or pre-funded warrants in the offering, you will experience substantial and immediate dilution in the book value of your shares.</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purchase securities in the offering, you will pay a price per security that substantially exceeds the as-adjusted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book value per share of our tangible assets after subtracting our liabilities. As a result, investors purchasing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in this offering will incur substantial and immediate dilution of €33.71 per ordinary share in net tangible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book value, after giving effect to this offering at the offering price of $38.98 per ADS in the U.S. offering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€33.60 per ordinary share or €33.57 per pre-funded warrant in the European offering because the price that you pay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be substantially greater than the net tangible book value per ADS or ordinary share, as applicable, that you</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acquire. For a further description of the dilution that you will experience immediately after the offering, see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“Dilution.”</w:t>
      </w:r>
    </w:p>
    <w:p>
      <w:pPr>
        <w:spacing w:after="0" w:line="9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price per ordinary share, which is presented in euros, and the price per ADS, which is presented in dollars, reflect an exchange rate of €1.00 = $1.16 on May 20, 2026, as published by the European Central Bank on May 20, 2026. Otherwise, exchange rate translations presented in this prospectus supplement, which are provided solely for convenience, are made at the exchange rate of €1.00 = $1.1736, the exchange rate as of December 31, 2025, as shown in the H.10 weekly release published by the U.S. Federal Reserve Board on January 5, 2026.</w:t>
      </w:r>
    </w:p>
    <w:p>
      <w:pPr>
        <w:spacing w:after="0" w:line="32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ordinary shares or ADSs by existing shareholders could depress the market price of the ADSs and ordinary shares.</w:t>
      </w:r>
    </w:p>
    <w:p>
      <w:pPr>
        <w:spacing w:after="0" w:line="5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We believe that additional capital will be needed to continue our planned operations, including conducting our planned clinical trials, manufacturing and commercialization efforts, expanded research and development activities and costs associated with operating as a public company. Additional financing may be obtained through additional equity offerings, which may include underwritten offerings, private placement financing, or the initiation of an at-the-market program. Sales of additional ordinary shares or ADSs by us, or the perception that these sales could occur, could cause the market price of our ADSs to decline.</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If existing shareholders sell, or indicate an intent to sell, substantial amounts of ordinary shares or ADSs, the trading price of the ADSs and ordinary shares could decline significantly and could decline below the offering price. Upon completion of this offering and based on the number of ordinary shares (including ordinary shares in the form of ADSs) outstanding as of December 31, 2025, we will have outstanding ordinary shares (including ordinary shares in the form of ADSs) assuming no issuance by us of additional ordinary shares pursuant to the exercise of the underwriters’ option and assuming no exercise of any pre-funded warrants, approximately 2,072,976 of which will be subject to a contractual restriction on selling for up to 90 days, subject to certain exceptions. The underwriters may permit our executive board members and supervisory board members to sell ADSs or ordinary shares prior to the expiration of the lock-up agreements. See “Underwriting.”</w:t>
      </w:r>
    </w:p>
    <w:p>
      <w:pPr>
        <w:spacing w:after="0" w:line="80"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After the 90-day lock-up agreements with executive and supervisory board members expire, additional ordinary shares will be eligible for sale by such board members in the public market, subject to compliance with applicable requirements under Rule 144 or Regulation S. In addition, the ordinary shares subject to outstanding warrants or stock options will become eligible for sale in the public market in the future, subject to certain legal and contractual limitations. We have filed a registration statement on Form S-8 with the SEC covering the ordinary shares issuable upon exercise of outstanding warrants or stock options. Further, pursuant to a registration rights agreement with Johnson &amp; Johnson Innovation – JJDC, Inc. (“JJDC”), we have filed a registration statement with the SEC covering future resales of the ADSs held by JJDC.</w:t>
      </w:r>
    </w:p>
    <w:p>
      <w:pPr>
        <w:spacing w:after="0" w:line="8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Sales of a large number of the shares in the public market by executive and supervisory board members or by significant shareholders upon the exercise of warrants or stock options, in future public offerings by us or otherwise could have an adverse effect on the market price of the ADSs or ordinary shares. If these additional ordinary shares are sold, or if it is perceived that they will be sold, in the public market, the trading price of the ADSs and ordinary shares could decline substantially.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In addition, to the extent that holders of pre-funded warrants exercise such warrants and sell the ordinary shares issued upon such exercise, the market price of the ordinary shares may decrease due to the additional selling pressure in the market.</w:t>
      </w:r>
    </w:p>
    <w:p>
      <w:pPr>
        <w:spacing w:after="0" w:line="172"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not free from doubt, we do not believe we were a “passive foreign investment company” (“PFIC”) for U.S. federal income tax purposes for the taxable year ended December 31, 2025. Further, we cannot assure you that we will not be classified as a PFIC for the taxable year ending December 31, 2026 or any future taxable year, which may result in adverse U.S. federal income tax consequences to U.S. holders.</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 non-U.S. corporation will be considered a PFIC for any taxable year if either (1) at least 75% of its gross income for such year is passive income or (2) at least 50% of the value of its assets (based on an average of the quarterly values of the assets during such year) is attributable to assets that produce or are held for the production of passive income. Although the matter is not free from doubt, we do not believe that we were a PFIC for U.S. federal income tax purposes for the taxable year ended December 31, 2025. Because certain aspects of the PFIC rules are not entirely certain and because this determination is dependent upon a number of factors, there can be no assurance that we were not a PFIC for such taxable year or that the IRS will agree with any position we take regarding our PFIC status.</w:t>
      </w:r>
    </w:p>
    <w:p>
      <w:pPr>
        <w:spacing w:after="0" w:line="8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Further, no assurances may be given at this time as to our PFIC status for the current or future taxable years. The determination of PFIC status is fact-specific, and a separate determination must be made each taxable year as to whether we are a PFIC (after the close of each such taxable year). It is possible that we could be classified as a PFIC for the taxable year ending December 31, 2026 or future taxable years due to changes in the composition of our assets or income, as well as changes to the market value of our assets. If we are a PFIC for any taxable year during which a U.S. holder holds ADSs, the U.S. holder may be subject to adverse tax consequences, including (1) the treatment of all or a portion of any gain on disposition of the ADSs as ordinary income, (2) the application of an interest charge with respect to such gain and certain dividends and (3) compliance with certain reporting requirements. Each U.S. holder is strongly urged to consult its tax advisor regarding these issues and any available elections to mitigate such tax consequences.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any such market to develop. In addition, we do not intend to apply to list the pre-funded warrants on any domestic or foreign securities exchange or nationally recognized trading system. Without an active market, the liquidity of the pre-funded warrants will be limited.</w:t>
      </w:r>
    </w:p>
    <w:p>
      <w:pPr>
        <w:spacing w:after="0" w:line="176"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offered hereby will have no rights as shareholders with respect to the ordinary shares underlying those pre-funded warrants until such holders exercise their pre-funded warrants and acquire our ordinary shares.</w:t>
      </w:r>
    </w:p>
    <w:p>
      <w:pPr>
        <w:spacing w:after="0" w:line="67"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Until holders of the pre-funded warrants acquire our ordinary shares upon exercise thereof, such holders will have no rights with respect to the ordinary shares underlying such pre-funded warrants, except to the extent that holders of such pre-funded warrants will have certain rights to participate in distributions or dividends paid on our shares as set forth in the pre-funded warrants. Upon exercise of the pre-funded warrants, the holders will be entitled to exercise the rights of a shareholder only as to matters for which the record date occurs after the exercise date.</w:t>
      </w:r>
    </w:p>
    <w:p>
      <w:pPr>
        <w:spacing w:after="0" w:line="179"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ordinary shares may not be permitted to exercise the pre-funded warrants that they hold.</w:t>
      </w:r>
    </w:p>
    <w:p>
      <w:pPr>
        <w:spacing w:after="0" w:line="5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Holders of pre-funded warrants can choose to limit the exercise of any portion of any pre-funded warrant that, upon giving effect to such exercise, would cause the aggregate number of our ordinary shares beneficially owned by such holder (together with its affiliates and other attribution parties) to exceed 9.99% of the number of our ordinary shares immediately after giving effect to the exercise. Such percentage may be increased or decreased by the holder of the pre-funded warrant to any other percentage not in excess of 19.99% upon at least 61 days’ prior notice from the holder to us (or 24.99% for any purchaser of pre-funded warrants already above 19.99% at the time of the purchase of the pre-funded warrants). As a result, you may not be able to exercise your pre-funded warrants for our ordinary shares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ordinary shares issuable upon exercise of the pre-funded warrants, holders may be subject to certain restrictions on transfers with respect to ordinary shares received upon exercise of such pre-funded warrants.</w:t>
      </w:r>
    </w:p>
    <w:p>
      <w:pPr>
        <w:spacing w:after="0" w:line="67" w:lineRule="exact"/>
        <w:rPr>
          <w:sz w:val="20"/>
          <w:szCs w:val="20"/>
          <w:color w:val="auto"/>
        </w:rPr>
      </w:pPr>
    </w:p>
    <w:p>
      <w:pPr>
        <w:ind w:left="300" w:right="459"/>
        <w:spacing w:after="0" w:line="257"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ordinary shares issuable upon exercise of the pre-funded warrants at the time that holders wish to exercise such pre-funded warrants, they will be exercisable only pursuant to an available exemption from the registration requirements applicable under</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U.S. securities laws. To ensure that such an exemption is available, holders of pre-funded warrants must agree that at the time of exercise they will make certain representations and warranties to the Company, including a representation as to such holder's “accredited investor” status under U.S. securities laws. Accordingly, transfers of pre-funded warrants are restricted to holders eligible to make such required representations. As a result, to the extent ordinary shares are issued pursuant to an exemption from U.S. registration requirements, holders may be limited in their ability to immediately sell such shares upon exercise, subject to volume or other securities law limitations. Further, if an exemption from registration is not available, holders would only be able to exercise their pre-funded warrants if a current and effective registration statement relating to the ordinary shares issuable upon exercise of the pre-funded warrants is available.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€79.12 ($91.78) million based on the public offering prices set forth on the cover page of this prospectus supplement, after deducting underwriting commissions and estimated offering expenses payable by us, and assuming no issuance by us of additional ordinary shares pursuant to the exercise of the underwriters’ option to purchase up to 33,805 additional ordinary shares (in the form of ADSs) in this offering, and excluding the proceeds we may receive from the cash exercise of the pre-funded warrants. We cannot predict when or if the pre-funded warrants will be exercised.</w:t>
      </w:r>
    </w:p>
    <w:p>
      <w:pPr>
        <w:spacing w:after="0" w:line="79" w:lineRule="exact"/>
        <w:rPr>
          <w:sz w:val="20"/>
          <w:szCs w:val="20"/>
          <w:color w:val="auto"/>
        </w:rPr>
      </w:pPr>
    </w:p>
    <w:p>
      <w:pPr>
        <w:jc w:val="both"/>
        <w:ind w:left="300" w:right="699"/>
        <w:spacing w:after="0" w:line="266" w:lineRule="auto"/>
        <w:rPr>
          <w:sz w:val="20"/>
          <w:szCs w:val="20"/>
          <w:color w:val="auto"/>
        </w:rPr>
      </w:pPr>
      <w:r>
        <w:rPr>
          <w:rFonts w:ascii="Times New Roman" w:cs="Times New Roman" w:eastAsia="Times New Roman" w:hAnsi="Times New Roman"/>
          <w:sz w:val="18"/>
          <w:szCs w:val="18"/>
          <w:color w:val="auto"/>
        </w:rPr>
        <w:t>If we issue additional ordinary shares (in the form of ADSs) pursuant to the exercise in full of the underwriters’ option in the offering, we estimate that we will receive net proceeds from the offering of approximately €80.89 ($93.83) million.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expect to use the net proceeds from this offering to accelerate our development programs, including to:</w:t>
      </w:r>
    </w:p>
    <w:p>
      <w:pPr>
        <w:spacing w:after="0" w:line="27" w:lineRule="exact"/>
        <w:rPr>
          <w:sz w:val="20"/>
          <w:szCs w:val="20"/>
          <w:color w:val="auto"/>
        </w:rPr>
      </w:pPr>
    </w:p>
    <w:p>
      <w:pPr>
        <w:ind w:left="300" w:right="739" w:hanging="8"/>
        <w:spacing w:after="0" w:line="260" w:lineRule="auto"/>
        <w:tabs>
          <w:tab w:leader="none" w:pos="5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development and advancement of JNJ-1900 (NBTXR3), (2) advance our Nanoprimer and other platforms, and (3) support general corporate purposes.</w:t>
      </w:r>
    </w:p>
    <w:p>
      <w:pPr>
        <w:spacing w:after="0" w:line="73" w:lineRule="exact"/>
        <w:rPr>
          <w:sz w:val="20"/>
          <w:szCs w:val="20"/>
          <w:color w:val="auto"/>
        </w:rPr>
      </w:pPr>
    </w:p>
    <w:p>
      <w:pPr>
        <w:jc w:val="both"/>
        <w:ind w:left="300" w:right="499"/>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€52.8 million. We believe that such cash and cash equivalents, without taking into account the net proceeds from the global offering and without taking into account potential milestone payments for JNJ-1900, will be sufficient to meet our working capital requirements at least for the next twelve months, and, specifically, into early 2028.</w:t>
      </w:r>
    </w:p>
    <w:p>
      <w:pPr>
        <w:spacing w:after="0" w:line="7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Our estimates of the period of time through which our financial resources are expected to be adequate to meet our working capital requirements are forward-looking statements and involve risks and uncertainties, and actual results could vary materially and negatively as a result of a number of factors, as described under “Special Note Regarding Forward-Looking Statements.”</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expected use of proceeds represents our intentions based upon our current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w:t>
      </w:r>
    </w:p>
    <w:p>
      <w:pPr>
        <w:spacing w:after="0" w:line="84"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in accordance with our investment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If you invest in this offering, you will experience immediate and substantial dilution to the extent of the difference between the public offering price per ADS, per ordinary share or per pre-funded warrant and the as-adjusted net tangible book deficit per share of our ordinary shares immediately after this offering.</w:t>
      </w:r>
    </w:p>
    <w:p>
      <w:pPr>
        <w:spacing w:after="0" w:line="68"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price per ordinary share, which is presented in euros, and the price per ADS, which is presented in dollars, reflect an exchange rate of €1.00 = $1.16 on May 20, 2026, as published by the European Central Bank on May 20, 2026. Otherwise, exchange rate translations presented in this prospectus supplement, which are provided solely for convenience, are made at the exchange rate of €1.00 = $1.1736, the exchange rate as of December 31, 2025, as shown in the H.10 weekly release published by the U.S. Federal Reserve Board on January 5, 2026.</w:t>
      </w:r>
    </w:p>
    <w:p>
      <w:pPr>
        <w:spacing w:after="0" w:line="75"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Our net tangible book deficit as of December 31, 2025 was €(84.5) million ($(99.2) million), or €(1.75) per ordinary share. Net tangible book value (deficit) per ordinary share is determined by dividing (1) our total assets less our intangible assets and our total liabilities by (2) the number of ordinary shares outstanding as of December 31, 2025, or 48,410,068 ordinary shares.</w:t>
      </w:r>
    </w:p>
    <w:p>
      <w:pPr>
        <w:spacing w:after="0" w:line="72"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After giving effect to our sale of 2,184,662 ordinary shares (including in the form of ADSs) and 345,099 pre-funded warrants in this offering at the public offering prices set forth on the cover page of this prospectus supplement and after deducting underwriting commissions and estimated offering expenses payable by us amounting to €5.9 million ($6.8 million) (and excluding the proceeds, if any, from the exercise of the pre-funded warrants issued pursuant to this offering or any resulting accounting associated with the pre-funded warrants), our as adjusted net tangible book value at December 31, 2025 would have been €(5.4) million, or €(0.11) per ordinary share. This represents an immediate decrease in net tangible book deficit of €1.64 per ordinary share to existing shareholders and an immediate dilution of €33.71 per ordinary share to new investors.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ordinary share basis: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 Ordinary Share</w:t>
            </w:r>
          </w:p>
        </w:tc>
      </w:tr>
      <w:tr>
        <w:trPr>
          <w:trHeight w:val="2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w w:val="76"/>
              </w:rPr>
              <w:t> </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€33.60</w:t>
            </w:r>
          </w:p>
        </w:tc>
      </w:tr>
      <w:tr>
        <w:trPr>
          <w:trHeight w:val="23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net tangible book deficit per ordinary share as of December 31, 2025</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5"/>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(decrease in deficit) per ordinary share to</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existing shareholders attributable to investors purchasing securities in this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66"/>
        </w:trPr>
        <w:tc>
          <w:tcPr>
            <w:tcW w:w="6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r>
      <w:tr>
        <w:trPr>
          <w:trHeight w:val="232"/>
        </w:trPr>
        <w:tc>
          <w:tcPr>
            <w:tcW w:w="6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net tangible book deficit per share as of December 31, 2025 after</w:t>
            </w:r>
          </w:p>
        </w:tc>
        <w:tc>
          <w:tcPr>
            <w:tcW w:w="2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r>
      <w:tr>
        <w:trPr>
          <w:trHeight w:val="234"/>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giving effect to this offering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investors participating in this offering</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33.71</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If we issue 33,805 additional ordinary shares (in the form of ADSs) pursuant to the exercise in full of the underwriters’ option, the as adjusted net tangible book deficit after this offering would be €(0.09) per ordinary share, the decrease in the net tangible book deficit to existing shareholders would be €1.66 per ordinary share, and the dilution to investors participating in this offering would be €33.69 per ordinary share.</w:t>
      </w:r>
    </w:p>
    <w:p>
      <w:pPr>
        <w:spacing w:after="0" w:line="7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If holders of the pre-funded warrants exercise the pre-funded warrants in full, assuming no exercise of the underwriters' option, the as adjusted net tangible book deficit after this offering would be €(0.11) per ordinary share, the decrease in the net tangible book deficit to existing shareholders would be €1.64 per ordinary share, and the dilution to investors participating in this offering would be €33.71 per ordinary share.</w:t>
      </w:r>
    </w:p>
    <w:p>
      <w:pPr>
        <w:spacing w:after="0" w:line="7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securityholders. To the extent that we issue additional ordinary shares under our equity incentive plans, through the establishment of an at-the-market program, or upon the exercise of warrants, pre-funded warrants or stock options, there will be further dilution to investors in this offering.</w:t>
      </w:r>
    </w:p>
    <w:p>
      <w:pPr>
        <w:spacing w:after="0" w:line="7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number of ordinary shares (including in the form of ADSs) that will be outstanding after this offering is based on 48,410,068 actual ordinary shares outstanding as of December 31, 2025, and excludes: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8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4,985,304 new ordinary shares issuable upon the exercise of founders’ warrants (BSPCE), warrants (BSA), and stock options (OSA) granted, but not exercised, as of December 31, 2025, at a weighted average exercise price of €6.42 per share;</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 ordinary shares reserved for future issuance as of December 31, 2025 under our share-based compensation plans pursuant to delegations of authority from our shareholders at the combined ordinary and extraordinary general meeting of shareholders held on May 19, 2025;</w:t>
      </w:r>
    </w:p>
    <w:p>
      <w:pPr>
        <w:spacing w:after="0" w:line="67"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47,426,851 ordinary shares reserved as of December 31, 2025 pursuant to delegations of authority from our shareholders at the combined ordinary and extraordinary general meeting of shareholders held on May 19, 2025 for share capital increases by us through rights issuances and public or private offerings, which number of shares will be reduced by the number of shares issued in this offering;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issuable upon exercise of the pre-funded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OFFERED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material terms of the ordinary shares are described under the heading “Description of Share Capital” in the accompanying prospectus.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ADSs</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material terms of the ADSs are described under the heading “Description of American Depositary Shares” in the accompanying prospectus.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pre-funded warrants that are being offered hereby is not complete and is subject to, and qualified in its entirety by, the terms and conditions of the pre-funded warrants, which will be filed as an exhibit to a Current Report on Form 6-K in connection with this offering and incorporated by reference into the registration statement of which this prospectus supplement forms a part.</w:t>
      </w:r>
    </w:p>
    <w:p>
      <w:pPr>
        <w:spacing w:after="0" w:line="72"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Prospective investors should carefully review the terms and conditions of the pre-funded warrants for a complete description of the pre-funded warrants.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pre-funded warrants will be issued and held in registered form (</w:t>
      </w:r>
      <w:r>
        <w:rPr>
          <w:rFonts w:ascii="Times New Roman" w:cs="Times New Roman" w:eastAsia="Times New Roman" w:hAnsi="Times New Roman"/>
          <w:sz w:val="18"/>
          <w:szCs w:val="18"/>
          <w:i w:val="1"/>
          <w:iCs w:val="1"/>
          <w:color w:val="auto"/>
        </w:rPr>
        <w:t>au nominatif</w:t>
      </w:r>
      <w:r>
        <w:rPr>
          <w:rFonts w:ascii="Times New Roman" w:cs="Times New Roman" w:eastAsia="Times New Roman" w:hAnsi="Times New Roman"/>
          <w:sz w:val="18"/>
          <w:szCs w:val="18"/>
          <w:color w:val="auto"/>
        </w:rPr>
        <w:t>) in the securities account opened in the name of the holder in the books of the registrar. The pre-funded warrants shall not be listed on Euronext Paris or on any other stock exchange and will be freely negotiable. Title to the pre-funded warrants held by the holders thereof will be established and evidenced in accordance with Articles L.211-3 and R.211-1 of the French Monetary and Financial Code by book-entries (</w:t>
      </w:r>
      <w:r>
        <w:rPr>
          <w:rFonts w:ascii="Times New Roman" w:cs="Times New Roman" w:eastAsia="Times New Roman" w:hAnsi="Times New Roman"/>
          <w:sz w:val="18"/>
          <w:szCs w:val="18"/>
          <w:i w:val="1"/>
          <w:iCs w:val="1"/>
          <w:color w:val="auto"/>
        </w:rPr>
        <w:t>inscription en compte</w:t>
      </w:r>
      <w:r>
        <w:rPr>
          <w:rFonts w:ascii="Times New Roman" w:cs="Times New Roman" w:eastAsia="Times New Roman" w:hAnsi="Times New Roman"/>
          <w:sz w:val="18"/>
          <w:szCs w:val="18"/>
          <w:color w:val="auto"/>
        </w:rPr>
        <w:t xml:space="preserve">). No physical document of title (including </w:t>
      </w:r>
      <w:r>
        <w:rPr>
          <w:rFonts w:ascii="Times New Roman" w:cs="Times New Roman" w:eastAsia="Times New Roman" w:hAnsi="Times New Roman"/>
          <w:sz w:val="18"/>
          <w:szCs w:val="18"/>
          <w:i w:val="1"/>
          <w:iCs w:val="1"/>
          <w:color w:val="auto"/>
        </w:rPr>
        <w:t>certificats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représentatifs </w:t>
      </w:r>
      <w:r>
        <w:rPr>
          <w:rFonts w:ascii="Times New Roman" w:cs="Times New Roman" w:eastAsia="Times New Roman" w:hAnsi="Times New Roman"/>
          <w:sz w:val="18"/>
          <w:szCs w:val="18"/>
          <w:color w:val="auto"/>
        </w:rPr>
        <w:t>pursuant to Article R.211-7 of the French Monetary and Financial Code) will be issued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pre-funded warrants.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aggregate price of the pre-funded warrants will be pre-funded on or prior to the issue date, except for a remaining exercise price of €0.03 per ordinary share purchasable upon exercise of each pre-funded warrant. The exercise price and/or the number of ordinary shares issuable upon exercise of the pre-funded warrants will be subject to adjustment from time to time according to mandatory legal requirements imposed by the French Commercial Code and in particular by Articles L. 228-98 to L. 228-101 (with the exception of the provisions of Articles L. 228-99 1" and L. 228-99 2") and Articles R. 228-90 to R. 228-92 of this Code.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until May 26, 2036, during a period of ten years from their issue date. Each pre-funded warrant will be exercisable for one ordinary share. The pre-funded warrants will be exercisable, at the option of each holder, in whole or in part (subject always to exercising a whole number of pre-funded warrants), by delivering to our registrar and to us a duly executed exercise notice accompanied by payment in full for the number of ordinary shares purchased upon such exercise.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Exercisability</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A holder (together with its affiliates and other attribution parties) may not exercise any portion of a warrant to the extent that immediately prior to or after giving effect to such exercise the holder would beneficially own more than 9.99% of our outstanding ordinary shares immediately after giving effect to the issuance of shares upon exercise of the pre-funded warrants (the “Beneficial Ownership Limitation”). The holder, upon notice to us, may increase or decrease the Beneficial Ownership Limitation, provided that (a) to the extent required by the French Foreign Direct Investment regime, in the cases of Beneficial Ownership Limitation increased above 9.99% of the voting rights of the Company (the “Crossing Event”), the holder has obtained from the French Ministry of Economy through an authorization request or prior notification, in accordance with the Foreign Direct Investment regime, either (i) a written response from the French Ministry of Economy confirming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that the exercise of the pre-funded warrants and, therefore, the acquisition of ordinary shares upon exercise of pre-funded warrants that would cause the Crossing Event is not subject to the prior authorization procedure or (ii) the authorization (express or tacit) to proceed with the Crossing Event and (b) the Beneficial Ownership Limitation in no event exceeds 19.99% (to the extent applicable) of the number of shares outstanding immediately after giving effect to the issuance of ordinary shares upon exercise of the pre-funded warrants held by the holder (provided that, with respect to the Foreign Direct Investment regime, the applicable percentage will be 24.99% of the voting rights of the Company). Any increase in the Beneficial Ownership Limitation will not be effective until the sixty first (61st) day after such notice is delivered to the Company.</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Suspension of Exercisability</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a capital increase, absorption, merger, spin-off or issuance of new ordinary shares or securities giving access to the share capital, or any other financial transaction involving a preferential subscription right or reserving a priority subscription period for the benefit of our shareholders, we may suspend exercises of the pre-funded warrants for a period that may not exceed the shorter of three months or any other period set by the applicable regulations. In the case of a suspension, the first day of which falls during the period of three months prior to the day which would otherwise be the last day of the exercise period, the exercise period of the pre-funded warrants shall be automatically extended for the same duration as the period of suspension. Our decision to suspend the ability to exercise the pre-funded warrants will be published (to the extent that such publication is required under French law or any other form of communication compliant with applicable regulations) in the </w:t>
      </w:r>
      <w:r>
        <w:rPr>
          <w:rFonts w:ascii="Times New Roman" w:cs="Times New Roman" w:eastAsia="Times New Roman" w:hAnsi="Times New Roman"/>
          <w:sz w:val="18"/>
          <w:szCs w:val="18"/>
          <w:i w:val="1"/>
          <w:iCs w:val="1"/>
          <w:color w:val="auto"/>
        </w:rPr>
        <w:t>Bulletin des Annonces Légales Obligatoires</w:t>
      </w:r>
      <w:r>
        <w:rPr>
          <w:rFonts w:ascii="Times New Roman" w:cs="Times New Roman" w:eastAsia="Times New Roman" w:hAnsi="Times New Roman"/>
          <w:sz w:val="18"/>
          <w:szCs w:val="18"/>
          <w:color w:val="auto"/>
        </w:rPr>
        <w:t xml:space="preserve"> and pursuant to the terms and conditions of the pre-funded warrants.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Exercise Ratio; Specified Transactions</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pre-funded warrants are considered securities giving access to the share capital of the Company within the meaning of Article L. 228-91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French Commercial Code. In accordance with the provisions of Article R. 228-92 of the French Commercial Code, if we decide to issue new ordinary shares or securities giving access to the capital with preferential subscription rights limited to our shareholders, to distribute reserves (in cash or in kind) and share premiums or to change the distribution of our profits by creating preference shares, or to otherwise carry out certain specified transactions, we will inform (as long as the current regulation so requires) the holders of pre-funded warrants via an announcement in the </w:t>
      </w:r>
      <w:r>
        <w:rPr>
          <w:rFonts w:ascii="Times New Roman" w:cs="Times New Roman" w:eastAsia="Times New Roman" w:hAnsi="Times New Roman"/>
          <w:sz w:val="18"/>
          <w:szCs w:val="18"/>
          <w:i w:val="1"/>
          <w:iCs w:val="1"/>
          <w:color w:val="auto"/>
        </w:rPr>
        <w:t>Bulletin des Annonces Légales Obligatoires</w:t>
      </w:r>
      <w:r>
        <w:rPr>
          <w:rFonts w:ascii="Times New Roman" w:cs="Times New Roman" w:eastAsia="Times New Roman" w:hAnsi="Times New Roman"/>
          <w:sz w:val="18"/>
          <w:szCs w:val="18"/>
          <w:color w:val="auto"/>
        </w:rPr>
        <w:t xml:space="preserve"> and pursuant to the terms and conditions of the pre-funded warrants. If our Company is absorbed by another company or merges or consolidates with (</w:t>
      </w:r>
      <w:r>
        <w:rPr>
          <w:rFonts w:ascii="Times New Roman" w:cs="Times New Roman" w:eastAsia="Times New Roman" w:hAnsi="Times New Roman"/>
          <w:sz w:val="18"/>
          <w:szCs w:val="18"/>
          <w:i w:val="1"/>
          <w:iCs w:val="1"/>
          <w:color w:val="auto"/>
        </w:rPr>
        <w:t>fusions</w:t>
      </w:r>
      <w:r>
        <w:rPr>
          <w:rFonts w:ascii="Times New Roman" w:cs="Times New Roman" w:eastAsia="Times New Roman" w:hAnsi="Times New Roman"/>
          <w:sz w:val="18"/>
          <w:szCs w:val="18"/>
          <w:color w:val="auto"/>
        </w:rPr>
        <w:t>) one or several other companies to participate in the incorporation of a new entity, or proceeds with a split (</w:t>
      </w:r>
      <w:r>
        <w:rPr>
          <w:rFonts w:ascii="Times New Roman" w:cs="Times New Roman" w:eastAsia="Times New Roman" w:hAnsi="Times New Roman"/>
          <w:sz w:val="18"/>
          <w:szCs w:val="18"/>
          <w:i w:val="1"/>
          <w:iCs w:val="1"/>
          <w:color w:val="auto"/>
        </w:rPr>
        <w:t>scission</w:t>
      </w:r>
      <w:r>
        <w:rPr>
          <w:rFonts w:ascii="Times New Roman" w:cs="Times New Roman" w:eastAsia="Times New Roman" w:hAnsi="Times New Roman"/>
          <w:sz w:val="18"/>
          <w:szCs w:val="18"/>
          <w:color w:val="auto"/>
        </w:rPr>
        <w:t>), the holders of pre-funded warrants shall exercise their rights in the entity(ies) benefiting from the assets in accordance with the provisions of Article L. 228-101 of the French Commercial Code. Certain specified transactions may result in an adjustment to the exercise ratio (or any adjustment as otherwise prescribed), to maintain the rights of the holders, in accordance with the adjustment conditions as specified in the terms and conditions of the pre-funded warrants.</w:t>
      </w:r>
    </w:p>
    <w:p>
      <w:pPr>
        <w:spacing w:after="0" w:line="8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specified transactions include: (i) financial transactions (issuance of shares or any other securities of any nature) with listed preferential subscription rights or by free allocation of listed subscription warrants, (ii) free allocation of shares to shareholders, grouping or splitting shares, (iii) incorporation of reserves, profits or premiums into equity, by increasing the nominal value of the shares, (iv) distribution of reserves and of any share premium, in cash or in kind, (v) free allocation to the shareholders of the Company of any securities of the Company (except shares), (vi) merger by acquisition (</w:t>
      </w:r>
      <w:r>
        <w:rPr>
          <w:rFonts w:ascii="Times New Roman" w:cs="Times New Roman" w:eastAsia="Times New Roman" w:hAnsi="Times New Roman"/>
          <w:sz w:val="18"/>
          <w:szCs w:val="18"/>
          <w:i w:val="1"/>
          <w:iCs w:val="1"/>
          <w:color w:val="auto"/>
        </w:rPr>
        <w:t>fusion par absorption</w:t>
      </w:r>
      <w:r>
        <w:rPr>
          <w:rFonts w:ascii="Times New Roman" w:cs="Times New Roman" w:eastAsia="Times New Roman" w:hAnsi="Times New Roman"/>
          <w:sz w:val="18"/>
          <w:szCs w:val="18"/>
          <w:color w:val="auto"/>
        </w:rPr>
        <w:t>), merger (</w:t>
      </w:r>
      <w:r>
        <w:rPr>
          <w:rFonts w:ascii="Times New Roman" w:cs="Times New Roman" w:eastAsia="Times New Roman" w:hAnsi="Times New Roman"/>
          <w:sz w:val="18"/>
          <w:szCs w:val="18"/>
          <w:i w:val="1"/>
          <w:iCs w:val="1"/>
          <w:color w:val="auto"/>
        </w:rPr>
        <w:t>fusion par création d’une nouvelle société</w:t>
      </w:r>
      <w:r>
        <w:rPr>
          <w:rFonts w:ascii="Times New Roman" w:cs="Times New Roman" w:eastAsia="Times New Roman" w:hAnsi="Times New Roman"/>
          <w:sz w:val="18"/>
          <w:szCs w:val="18"/>
          <w:color w:val="auto"/>
        </w:rPr>
        <w:t>), spin-off, or division (</w:t>
      </w:r>
      <w:r>
        <w:rPr>
          <w:rFonts w:ascii="Times New Roman" w:cs="Times New Roman" w:eastAsia="Times New Roman" w:hAnsi="Times New Roman"/>
          <w:sz w:val="18"/>
          <w:szCs w:val="18"/>
          <w:i w:val="1"/>
          <w:iCs w:val="1"/>
          <w:color w:val="auto"/>
        </w:rPr>
        <w:t>scission</w:t>
      </w:r>
      <w:r>
        <w:rPr>
          <w:rFonts w:ascii="Times New Roman" w:cs="Times New Roman" w:eastAsia="Times New Roman" w:hAnsi="Times New Roman"/>
          <w:sz w:val="18"/>
          <w:szCs w:val="18"/>
          <w:color w:val="auto"/>
        </w:rPr>
        <w:t>) of the Company, (vii) buyback of the Company’s own shares at a price higher than the trading market price, (viii) amortization of the share capital, and (ix) change in the allocation of profits and/or creation of preferred shares.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the exercise of the pre-funded warrants. Rather, the number of ordinary shares to be issued will be rounded down to the nearest whole multiple of one share and the holder will receive from us a cash payment equal to the product (rounded down to the nearest whole multiple of €0.01) of (x) the fractional share (if any) so rounded down and (y) the closing price of a share on the trading market on the last trading day preceding the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pre-funded warrants will, upon issuance, be inscribed in the books of the registrar, which shall credit the account of each holder in the related register. In accordance with the provisions of Articles L. 211-15 and L. 211-17 of the French Monetary and Financial Code, title to the pre-funded warrants shall be evidenced by entries in the books of such warrant register maintained by the registrar, and transfer of the pre-funded warrants may only be effected through registration of the transfer in such warrant register.</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on any securities exchange or nationally recognized trading system. We do not intend to list the pre-funded warrants on Euronext Paris, Nasdaq or any securities exchange or nationally recognized trading system.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as a Holder of Pre-Funded Warrants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Under French law, the holders of the pre-funded warrants will be grouped automatically in a collective group with legal personality (the “</w:t>
      </w:r>
      <w:r>
        <w:rPr>
          <w:rFonts w:ascii="Times New Roman" w:cs="Times New Roman" w:eastAsia="Times New Roman" w:hAnsi="Times New Roman"/>
          <w:sz w:val="18"/>
          <w:szCs w:val="18"/>
          <w:i w:val="1"/>
          <w:iCs w:val="1"/>
          <w:color w:val="auto"/>
        </w:rPr>
        <w:t>Masse</w:t>
      </w:r>
      <w:r>
        <w:rPr>
          <w:rFonts w:ascii="Times New Roman" w:cs="Times New Roman" w:eastAsia="Times New Roman" w:hAnsi="Times New Roman"/>
          <w:sz w:val="18"/>
          <w:szCs w:val="18"/>
          <w:color w:val="auto"/>
        </w:rPr>
        <w:t xml:space="preserve">”), to defend their common interests. The </w:t>
      </w:r>
      <w:r>
        <w:rPr>
          <w:rFonts w:ascii="Times New Roman" w:cs="Times New Roman" w:eastAsia="Times New Roman" w:hAnsi="Times New Roman"/>
          <w:sz w:val="18"/>
          <w:szCs w:val="18"/>
          <w:i w:val="1"/>
          <w:iCs w:val="1"/>
          <w:color w:val="auto"/>
        </w:rPr>
        <w:t>Masse</w:t>
      </w:r>
      <w:r>
        <w:rPr>
          <w:rFonts w:ascii="Times New Roman" w:cs="Times New Roman" w:eastAsia="Times New Roman" w:hAnsi="Times New Roman"/>
          <w:sz w:val="18"/>
          <w:szCs w:val="18"/>
          <w:color w:val="auto"/>
        </w:rPr>
        <w:t xml:space="preserve"> will be governed by the provisions of the French Commercial Code (with the exception of the provisions of Article L.228-48 thereof), subject to the following provisions:</w:t>
      </w:r>
    </w:p>
    <w:p>
      <w:pPr>
        <w:spacing w:after="0" w:line="70" w:lineRule="exact"/>
        <w:rPr>
          <w:sz w:val="20"/>
          <w:szCs w:val="20"/>
          <w:color w:val="auto"/>
        </w:rPr>
      </w:pPr>
    </w:p>
    <w:p>
      <w:pPr>
        <w:ind w:left="1000" w:right="439" w:hanging="348"/>
        <w:spacing w:after="0" w:line="267"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Masse</w:t>
      </w:r>
      <w:r>
        <w:rPr>
          <w:rFonts w:ascii="Times New Roman" w:cs="Times New Roman" w:eastAsia="Times New Roman" w:hAnsi="Times New Roman"/>
          <w:sz w:val="18"/>
          <w:szCs w:val="18"/>
          <w:color w:val="auto"/>
        </w:rPr>
        <w:t xml:space="preserve"> will be a separate legal entity by virtue of Article L.228-103 of the French Commercial Code, acting in part through a representative elected by the holders’ general meeting and in part through a holders’ general meeting.</w:t>
      </w:r>
    </w:p>
    <w:p>
      <w:pPr>
        <w:spacing w:after="0" w:line="65"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Masse</w:t>
      </w:r>
      <w:r>
        <w:rPr>
          <w:rFonts w:ascii="Times New Roman" w:cs="Times New Roman" w:eastAsia="Times New Roman" w:hAnsi="Times New Roman"/>
          <w:sz w:val="18"/>
          <w:szCs w:val="18"/>
          <w:color w:val="auto"/>
        </w:rPr>
        <w:t xml:space="preserve"> alone, to the exclusion of all individual holders of the pre-funded warrants, shall exercise the common rights, actions and benefits which now or in the future may accrue with respect to the pre-funded warrants. The holders’ general meeting shall be convened to authorize any changes to the terms and conditions and to approve any decision that impacts the conditions for subscription of the ordinary shares underlying the pre-funded warrants, as determined within the scope of the terms and conditions.</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 terms and conditions of the pre-funded warrants shall be governed by the laws of France and interpreted and construed in accordance with such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global offering consists of:</w:t>
      </w:r>
    </w:p>
    <w:p>
      <w:pPr>
        <w:spacing w:after="0" w:line="117" w:lineRule="exact"/>
        <w:rPr>
          <w:sz w:val="20"/>
          <w:szCs w:val="20"/>
          <w:color w:val="auto"/>
        </w:rPr>
      </w:pPr>
    </w:p>
    <w:p>
      <w:pPr>
        <w:ind w:left="1000" w:right="8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offering in the United States of ordinary shares in the form of ADSs, each representing one ordinary share; and</w:t>
      </w:r>
    </w:p>
    <w:p>
      <w:pPr>
        <w:spacing w:after="0" w:line="53" w:lineRule="exact"/>
        <w:rPr>
          <w:rFonts w:ascii="Times New Roman" w:cs="Times New Roman" w:eastAsia="Times New Roman" w:hAnsi="Times New Roman"/>
          <w:sz w:val="18"/>
          <w:szCs w:val="18"/>
          <w:color w:val="auto"/>
        </w:rPr>
      </w:pPr>
    </w:p>
    <w:p>
      <w:pPr>
        <w:jc w:val="both"/>
        <w:ind w:left="1000" w:right="559" w:hanging="348"/>
        <w:spacing w:after="0" w:line="289"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offering outside of the United States of (i) ordinary shares and (ii) pre-funded warrants, in each case, exclusively addressed to “qualified investors,” as such term is defined in Article 2(e) of the Regulation (EU) No. 2017/1129 of the European Parliament and Council of June 14, 2017, as amended.</w:t>
      </w:r>
    </w:p>
    <w:p>
      <w:pPr>
        <w:spacing w:after="0" w:line="5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May 21, 2026, between us and Jefferies LLC, Jefferies GmbH, TD Securities (USA) LLC and Stifel, Nicolaus &amp; Company, Incorporated and Stifel Europe Securities SAS as the underwriters of the offering, we have agreed to sell to the underwriters, and each of the underwriters has agreed, severally and not jointly, to purchase from us, the respective number of ADSs, ordinary shares and/or pre-funded warrants, as the case may be, shown opposite its name below. Jefferies LLC, TD Securities (USA) LLC and Stifel, Nicolaus &amp; Company, Incorporated are acting as global coordinators and joint bookrunners for the offering. Jefferies, LLC, TD Securities (USA) LLC and Stifel, Nicolaus &amp; Company, Incorporated are also acting as joint bookrunners for the offering of our ADSs in the United States. Jefferies GmbH and Stifel Europe Securities SAS are also acting as joint bookrunners for the offering of our ordinary shares outside the United States.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PRE-</w:t>
            </w: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6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ADSs</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Jefferies GmbH</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1,357,618</w:t>
            </w:r>
          </w:p>
        </w:tc>
        <w:tc>
          <w:tcPr>
            <w:tcW w:w="10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239,123</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225,373</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Europe Securities SAS</w:t>
            </w: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601,671</w:t>
            </w:r>
          </w:p>
        </w:tc>
        <w:tc>
          <w:tcPr>
            <w:tcW w:w="28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105,976</w:t>
            </w:r>
          </w:p>
        </w:tc>
        <w:tc>
          <w:tcPr>
            <w:tcW w:w="0" w:type="dxa"/>
            <w:vAlign w:val="bottom"/>
          </w:tcPr>
          <w:p>
            <w:pPr>
              <w:spacing w:after="0"/>
              <w:rPr>
                <w:sz w:val="1"/>
                <w:szCs w:val="1"/>
                <w:color w:val="auto"/>
              </w:rPr>
            </w:pPr>
          </w:p>
        </w:tc>
      </w:tr>
      <w:tr>
        <w:trPr>
          <w:trHeight w:val="31"/>
        </w:trPr>
        <w:tc>
          <w:tcPr>
            <w:tcW w:w="56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225,373</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1,959,289</w:t>
            </w:r>
          </w:p>
        </w:tc>
        <w:tc>
          <w:tcPr>
            <w:tcW w:w="280" w:type="dxa"/>
            <w:vAlign w:val="bottom"/>
            <w:gridSpan w:val="2"/>
          </w:tcPr>
          <w:p>
            <w:pPr>
              <w:spacing w:after="0"/>
              <w:rPr>
                <w:sz w:val="22"/>
                <w:szCs w:val="2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345,099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ordinary shares and/or pre-funded warrants, as the case may be, if any of them are purchased. If an underwriter defaults, the underwriting agreement provides that the purchase commitments of the nondefaulting underwriters may be increased or the underwriting agreement may be terminated without liability. We have agreed to indemnify the underwriters, their affiliates, directors, officers, employees and agents and certain of their controlling persons against certain liabilities, including liabilities under the Securities Act or the Exchange Act, and to contribute to payments that the underwriters may be required to make in respect of those liabilities.</w:t>
      </w:r>
    </w:p>
    <w:p>
      <w:pPr>
        <w:spacing w:after="0" w:line="80"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following the completion of the offering, they currently intend to make a market in the ADSs and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markets for the ADSs or ordinary shares, that you will be able to sell any of the ADSs or ordinary shares held by you at a particular time or that the prices that you receive when you sell will be favorable.</w:t>
      </w:r>
    </w:p>
    <w:p>
      <w:pPr>
        <w:spacing w:after="0" w:line="7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any such market to develop. We do not plan on making an application to list the pre-funded warrants on any domestic or foreign securities exchange or nationally recognized trading system.</w:t>
      </w:r>
    </w:p>
    <w:p>
      <w:pPr>
        <w:spacing w:after="0" w:line="6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ADSs, ordinary shares and pre-funded warrants subject to their acceptance of such securities from us and subject to prior sale. The underwriters reserve the right to withdraw, cancel or modify offers to the public and to reject orders in whole or in part.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Sales of shares made outside the United States may be made by affiliates of the underwriters.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commissions that we are to pay the underwriters and the proceeds, before expenses, to us in connection with this offering. Such amounts are shown assuming both no exercise and full exercise of the underwriters’ option to purchase additional ordinary shares (in the form of ADSs). The underwriting commissions will be divided in the following proportions: 44.0% for Jefferies LLC, 36.5% for TD Securities (USA) LLC and 19.5% for Stifel, Nicolaus &amp; Company, Incorporated.</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PER</w:t>
            </w:r>
          </w:p>
        </w:tc>
        <w:tc>
          <w:tcPr>
            <w:tcW w:w="10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PRE-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6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2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5"/>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Purchase</w:t>
            </w:r>
          </w:p>
        </w:tc>
        <w:tc>
          <w:tcPr>
            <w:tcW w:w="10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ADSs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ADSs</w:t>
            </w:r>
          </w:p>
        </w:tc>
        <w:tc>
          <w:tcPr>
            <w:tcW w:w="1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ADSs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ADSs</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98,585,352.07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99,824,007.84</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commissions paid by us</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2.3388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2.3388</w:t>
            </w:r>
          </w:p>
        </w:tc>
        <w:tc>
          <w:tcPr>
            <w:tcW w:w="10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2.0160</w:t>
            </w:r>
          </w:p>
        </w:tc>
        <w:tc>
          <w:tcPr>
            <w:tcW w:w="10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5"/>
              </w:rPr>
              <w:t>2.0142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5,915,212.12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5,994,184.26</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Proceeds to us, before expenses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92,670,230.95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93,829,823.58</w:t>
            </w:r>
          </w:p>
        </w:tc>
        <w:tc>
          <w:tcPr>
            <w:tcW w:w="0" w:type="dxa"/>
            <w:vAlign w:val="bottom"/>
          </w:tcPr>
          <w:p>
            <w:pPr>
              <w:spacing w:after="0"/>
              <w:rPr>
                <w:sz w:val="1"/>
                <w:szCs w:val="1"/>
                <w:color w:val="auto"/>
              </w:rPr>
            </w:pPr>
          </w:p>
        </w:tc>
      </w:tr>
      <w:tr>
        <w:trPr>
          <w:trHeight w:val="54"/>
        </w:trPr>
        <w:tc>
          <w:tcPr>
            <w:tcW w:w="2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give effect to any exercise of any pre-funded warrants being issued in this offering.</w:t>
      </w:r>
    </w:p>
    <w:p>
      <w:pPr>
        <w:spacing w:after="0" w:line="100"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the offering, other than the underwriting commissions referred to above, will be approximately €0.8 million.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Global Select Market under the symbol “NBTX.” Our ordinary shares are listed on the regulated market of Euronext in Paris under the symbol “NANO.”</w:t>
      </w:r>
    </w:p>
    <w:p>
      <w:pPr>
        <w:spacing w:after="0" w:line="5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any such market to develop. We do not plan on making an application to list the pre-funded warrants on any domestic or foreign securities exchange or nationally recognized trading system.</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21"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If you purchase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to Purchase Additional Ordinary Shares (in the form of ADSs)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the underwriting agreement to be entered into between us and the underwriters, to purchase, from time to time, in whole or in part, up to an aggregate of 33,805 additional ordinary shares (to be delivered in the form of ADSs) from us at the public offering price set forth on the cover page of this prospectus supplement, subject to underwriting commissions. If the underwriters exercise this option, each underwriter will be obligated, subject to specified conditions, to purchase a number of ordinary shares (to be delivered in the form of ADSs), proportionate to that underwriter’s initial purchase commitment as indicated in the table above, excluding the pre-funded warrants. This option may be exercised only if the underwriters sell more ADSs than the total number set forth on the cover page of this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and our executive board and supervisory board members have agreed, subject to specified exceptions, not to directly or indirectly:</w:t>
      </w:r>
    </w:p>
    <w:p>
      <w:pPr>
        <w:spacing w:after="0" w:line="54" w:lineRule="exact"/>
        <w:rPr>
          <w:sz w:val="20"/>
          <w:szCs w:val="20"/>
          <w:color w:val="auto"/>
        </w:rPr>
      </w:pPr>
    </w:p>
    <w:p>
      <w:pPr>
        <w:ind w:left="1000" w:right="3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contract or grant any option to sell (including any short sale), pledge, transfer, establish an open “put equivalent position” within the meaning of Rule 16a-l(h) under the Exchange Act;</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117"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This restriction terminates after the close of trading of the ADSs and ordinary shares on and including the 90th day after the date of this prospectus supplement.</w:t>
      </w:r>
    </w:p>
    <w:p>
      <w:pPr>
        <w:spacing w:after="0" w:line="5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Jefferies GmbH, Jefferies LLC, TD Securities (USA) LLC and Stifel, Nicolaus &amp; Company, Incorporated and Stifel Europe Securities SAS may, in their sole discretion and at any time or from time to time before the termination of the lock-up period, which is the period of 90 days after the date of this prospectus supplement, release all or any portion of the securities subject to lock-up agreements. There are no existing agreements between the underwriters and any of our shareholders who will execute a lock-up agreement, providing consent to the sale of our ADSs or ordinary shares prior to the expiration of the lock-up period.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the offering. Furthermore, stabilization transactions will also need to comply with EU laws and notably the Regulation n"596/2014 on market abuse, as amended. These activities may have the effect of stabilizing or maintaining the market price of the ADSs and ordinary shares at a level above that which might otherwise prevail in the open market. Establishing short sales positions may involve either “covered” short sales or “naked” short sales.</w:t>
      </w:r>
    </w:p>
    <w:p>
      <w:pPr>
        <w:spacing w:after="0" w:line="8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ADSs in the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and ordinary shares available for purchase in the open market as compared to the price at which they may purchase ADSs and ordinary shares through the option to purchase additional ADSs.</w:t>
      </w:r>
    </w:p>
    <w:p>
      <w:pPr>
        <w:spacing w:after="0" w:line="7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the offering.</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 stabilizing bid is a bid for the purchase of ADSs and ordinary shares on behalf of the underwriters for the purpose of fixing or maintaining the price of the ADSs and ordinary shares. A syndicate covering transaction is the bid for or the purchase of ADSs and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and ordinary shares or preventing or retarding a decline in the market price of our ADSs and ordinary shares. As a result, the price of our ADSs and ordinary shares may be higher than the price that might otherwise exist in the open market. A penalty bid is an arrangement permitting the underwriters to reclaim the selling concession otherwise accruing to a syndicate member in connection with the offering if the ADSs and ordinary shares originally sold by such syndicate member are purchased in a syndicate covering transaction and therefore have not been effectively placed by such syndicate member.</w:t>
      </w:r>
    </w:p>
    <w:p>
      <w:pPr>
        <w:spacing w:after="0" w:line="84"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ADSs and ordinary shares. The underwriters are not obligated to engage in these activities and, if commenced, any of the activities may be discontinued at any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ADSs on the Nasdaq Global Select Market in accordance with Rule 103 of Regulation M during a period before the commencement of offers or sales of our ADSs in the U.S.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300" w:right="519"/>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securities for sale to online brokerage account holders. Any such allocation for online distributions will be made by the underwriters on the same basis as other allocations. Other than this prospectus supplement and the accompanying prospectus in electronic format, the information contained in, or that can be accessed through links on, the underwriters’ web sites and any information contained in any other web site maintained by any of the underwriters, is not part of this prospectus supplement or the accompanying prospectus, has not been approved or endorsed by us or the underwriters and should not be relied upon by investors.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300" w:right="299"/>
        <w:spacing w:after="0" w:line="272" w:lineRule="auto"/>
        <w:rPr>
          <w:sz w:val="20"/>
          <w:szCs w:val="20"/>
          <w:color w:val="auto"/>
        </w:rPr>
      </w:pPr>
      <w:r>
        <w:rPr>
          <w:rFonts w:ascii="Times New Roman" w:cs="Times New Roman" w:eastAsia="Times New Roman" w:hAnsi="Times New Roman"/>
          <w:sz w:val="17"/>
          <w:szCs w:val="17"/>
          <w:color w:val="auto"/>
        </w:rPr>
        <w:t>It is expected that delivery of the ADSs will be made against payment for the ADSs on or about the date specified on the cover page of this prospectus supplement, which is the second business day following the date of this prospectus supplement (such settlement cycle being referred to as “T+2”). Under Rule 15c6-1 of the Exchange Act, trades in the secondary market generally are required to settle in one business day unless the parties to any such trade expressly agree otherwise. Accordingly, purchasers who wish to trade the ADSs on any date prior to the first business day before delivery of the ADSs will be required, by virtue of the fact that the ADSs initially will settle in T+2, to specify an alternative settlement cycle at the time of any such trade to prevent a failed settlement. Purchasers of the ADSs who wish to trade the ADSs prior to the date of delivery of the ADSs should consult their own advisors.</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ind w:left="300" w:right="579"/>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7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Canadian Purchasers</w:t>
      </w:r>
    </w:p>
    <w:p>
      <w:pPr>
        <w:spacing w:after="0" w:line="121" w:lineRule="exact"/>
        <w:rPr>
          <w:sz w:val="20"/>
          <w:szCs w:val="20"/>
          <w:color w:val="auto"/>
        </w:rPr>
      </w:pPr>
    </w:p>
    <w:p>
      <w:pPr>
        <w:ind w:left="300" w:right="1199"/>
        <w:spacing w:after="0" w:line="282" w:lineRule="auto"/>
        <w:rPr>
          <w:sz w:val="20"/>
          <w:szCs w:val="20"/>
          <w:color w:val="auto"/>
        </w:rPr>
      </w:pPr>
      <w:r>
        <w:rPr>
          <w:rFonts w:ascii="Times New Roman" w:cs="Times New Roman" w:eastAsia="Times New Roman" w:hAnsi="Times New Roman"/>
          <w:sz w:val="18"/>
          <w:szCs w:val="18"/>
          <w:color w:val="auto"/>
        </w:rPr>
        <w:t>By purchasing the securities in Canada and accepting delivery of a purchase confirmation, a purchaser is representing to us and the dealer from whom the purchase confirmation is received that:</w:t>
      </w:r>
    </w:p>
    <w:p>
      <w:pPr>
        <w:spacing w:after="0" w:line="54" w:lineRule="exact"/>
        <w:rPr>
          <w:sz w:val="20"/>
          <w:szCs w:val="20"/>
          <w:color w:val="auto"/>
        </w:rPr>
      </w:pPr>
    </w:p>
    <w:p>
      <w:pPr>
        <w:ind w:left="1000" w:right="47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securities without the benefit of a prospectus qualified under those securities laws as it is an “accredited investor” as defined under National Instrument 45-106—Prospectus Exemptions or Section 73.3(1) of the Securities Act (Ontario), as applicable,</w:t>
      </w:r>
    </w:p>
    <w:p>
      <w:pPr>
        <w:spacing w:after="0" w:line="71" w:lineRule="exact"/>
        <w:rPr>
          <w:rFonts w:ascii="Times New Roman" w:cs="Times New Roman" w:eastAsia="Times New Roman" w:hAnsi="Times New Roman"/>
          <w:sz w:val="18"/>
          <w:szCs w:val="18"/>
          <w:color w:val="auto"/>
        </w:rPr>
      </w:pPr>
    </w:p>
    <w:p>
      <w:pPr>
        <w:ind w:left="1000" w:right="13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Canadian purchasers are hereby notified that certain of the underwriters are relying on the exemption set out in section 3A.3 or 3A.4, if applicable, of National Instrument 33-105—</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from having to provide certain conflict of interest disclosure in this document.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Statutory Rights of Action</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Legal Rights</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300" w:right="739"/>
        <w:spacing w:after="0" w:line="266" w:lineRule="auto"/>
        <w:rPr>
          <w:sz w:val="20"/>
          <w:szCs w:val="20"/>
          <w:color w:val="auto"/>
        </w:rPr>
      </w:pPr>
      <w:r>
        <w:rPr>
          <w:rFonts w:ascii="Times New Roman" w:cs="Times New Roman" w:eastAsia="Times New Roman" w:hAnsi="Times New Roman"/>
          <w:sz w:val="18"/>
          <w:szCs w:val="18"/>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w:t>
      </w:r>
    </w:p>
    <w:p>
      <w:pPr>
        <w:spacing w:after="0" w:line="27" w:lineRule="exact"/>
        <w:rPr>
          <w:sz w:val="20"/>
          <w:szCs w:val="20"/>
          <w:color w:val="auto"/>
        </w:rPr>
      </w:pPr>
    </w:p>
    <w:p>
      <w:pPr>
        <w:jc w:val="both"/>
        <w:ind w:left="300" w:right="399"/>
        <w:spacing w:after="0" w:line="255" w:lineRule="auto"/>
        <w:rPr>
          <w:sz w:val="20"/>
          <w:szCs w:val="20"/>
          <w:color w:val="auto"/>
        </w:rPr>
      </w:pPr>
      <w:r>
        <w:rPr>
          <w:rFonts w:ascii="Times New Roman" w:cs="Times New Roman" w:eastAsia="Times New Roman" w:hAnsi="Times New Roman"/>
          <w:sz w:val="18"/>
          <w:szCs w:val="18"/>
          <w:color w:val="auto"/>
        </w:rPr>
        <w:t>Act 2001 (Cth) of Australia, or Corporations Act, has not been lodged with the Australian Securities &amp; Investments Commission and is only directed to the categories of exempt persons set out below. Accordingly, if you receive this prospectus supplement in Australia: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 confirm and warrant that you are either:</w:t>
      </w:r>
    </w:p>
    <w:p>
      <w:pPr>
        <w:spacing w:after="0" w:line="117"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76"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“sophisticated investor” under section 708(8)(c) or (d) of the Corporations Act and that you have provided an accountant’s certificate to the Company which complies with the requirements of</w:t>
      </w: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708(8)(c)(i) or (ii) of the Corporations Act and related regulations before the offer has been made;</w:t>
      </w:r>
    </w:p>
    <w:p>
      <w:pPr>
        <w:spacing w:after="0" w:line="9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us under section 708(12) of the Corporations Act;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117"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68"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an offer to the public of ordinary shares (including in the form of ADSs) may not be made, except that such ordinary shares may be offered to the public in that Relevant State at any time:</w:t>
      </w:r>
    </w:p>
    <w:p>
      <w:pPr>
        <w:spacing w:after="0" w:line="68" w:lineRule="exact"/>
        <w:rPr>
          <w:sz w:val="20"/>
          <w:szCs w:val="20"/>
          <w:color w:val="auto"/>
        </w:rPr>
      </w:pPr>
    </w:p>
    <w:p>
      <w:pPr>
        <w:ind w:left="1000" w:right="10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2(e) of the Prospectus Regulation;</w:t>
      </w:r>
    </w:p>
    <w:p>
      <w:pPr>
        <w:spacing w:after="0" w:line="53" w:lineRule="exact"/>
        <w:rPr>
          <w:rFonts w:ascii="Times New Roman" w:cs="Times New Roman" w:eastAsia="Times New Roman" w:hAnsi="Times New Roman"/>
          <w:sz w:val="18"/>
          <w:szCs w:val="18"/>
          <w:color w:val="auto"/>
        </w:rPr>
      </w:pPr>
    </w:p>
    <w:p>
      <w:pPr>
        <w:ind w:left="1000" w:right="339" w:hanging="348"/>
        <w:spacing w:after="0" w:line="312"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Article 2(e) of the Prospectus Regulation), subject to obtaining the prior consent of the underwriters for any such offer; or</w:t>
      </w:r>
    </w:p>
    <w:p>
      <w:pPr>
        <w:spacing w:after="0" w:line="31" w:lineRule="exact"/>
        <w:rPr>
          <w:rFonts w:ascii="Times New Roman" w:cs="Times New Roman" w:eastAsia="Times New Roman" w:hAnsi="Times New Roman"/>
          <w:sz w:val="17"/>
          <w:szCs w:val="17"/>
          <w:color w:val="auto"/>
        </w:rPr>
      </w:pPr>
    </w:p>
    <w:p>
      <w:pPr>
        <w:ind w:left="1000" w:right="35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ordinary shares shall require us or any of the underwriters to publish a prospectus pursuant to Article 3 of the Prospectus Regulation or supplement a prospectus pursuant to Article 23 of the Prospectus Regulation.</w:t>
      </w:r>
    </w:p>
    <w:p>
      <w:pPr>
        <w:spacing w:after="0" w:line="72"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“offer to the public” in relation to the ordinary shares in any Relevant State means the communication in any form and by any means of sufficient information on the terms of the offer and the ordinary shares to be offered so as to enable an investor to decide to purchase or subscribe to those ordinary shares, and the expression “Prospectus Regulation” means Regulation (EU) 2017/1129, as amended.</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The ADSs, ordinary shares and pre-funded warrants have not been and will not be offered or sold to the public in the Republic of France, and no offering of this prospectus supplement or any marketing materials relating to the ADSs, ordinary shares and pre-funded warrants may be made available or distributed in any way that would constitute, directly or indirectly, an offer to the public in the Republic of France (except for public offerings defined in Article L. 411-2 1"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The ordinary shares in the form of ADSs may only be offered or sold in France pursuant to Article L. 411-2 1"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xml:space="preserve"> 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xml:space="preserve">) (as such term is defined in Article 2(e) of Regulation (EU) n" 2017/1129, as amended, dated 14 June 2017) acting for their own account, and in accordance with articles L. 411-1 and D.411-4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Prospective investors are informed that:</w:t>
      </w:r>
    </w:p>
    <w:p>
      <w:pPr>
        <w:spacing w:after="0" w:line="75" w:lineRule="exact"/>
        <w:rPr>
          <w:sz w:val="20"/>
          <w:szCs w:val="20"/>
          <w:color w:val="auto"/>
        </w:rPr>
      </w:pPr>
    </w:p>
    <w:p>
      <w:pPr>
        <w:ind w:left="1000" w:right="55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prospectus supplement nor any other offering materials relating to the ordinary shares in the form of ADSs described in this prospectus supplement has been submitted for clearance to the French financial markets authority (Autorité des marchés financiers);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prospectus supplement, nor any offering material relating to the ordinary shares in the form of ADSs has been or will be released, issued, distributed or caused to be released, issued or distributed to the public in France or used in connection with any offer for subscription or sale of the ordinary shares in the form of ADSs to the public in France within the meaning of article L. 411-1 of the French Code monétaire et financier (other than public offerings defined in Article L. 411-2 1" of the French Code monétaire et financier);</w:t>
      </w:r>
    </w:p>
    <w:p>
      <w:pPr>
        <w:spacing w:after="0" w:line="79"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or entities referred to in article L. 411-2 1" of the French Code monétaire et financier may participate in the global offering, as provided under article D.411-4 of the French Code monétaire et financier;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distribution or sale to the public of the ordinary shares in the form of ADSs acquired by them may only be made in compliance with articles L. 411-1, L. 411-2 1", L. 412-1 and L. 621-8 to L. 621-8-2 of the French Code monétaire et financier.</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MiFID II product governance</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With respect to the European offering and solely for the purposes of each manufacturer’s product approval process, the target market assessment in respect of the ordinary shares and the pre-funded warrants has led to the conclusion that: (i) the target market for the ordinary shares and the pre-funded warrants is eligible counterparties and professional clients only, each as defined in Directive 2014/65/EU (as amended, “MiFID II”); and (ii) all channels for distribution of the ordinary shares and the pre-funded warrants to eligible counterparties and professional clients are appropriate. Any person subsequently offering, selling or recommending the ordinary shares and the pre-funded warrants (a “distributor”) should take into consideration the manufacturers’ target market assessment; however, a distributor subject to MiFID II is responsible for undertaking its own target market assessment in respect of the ordinary shares and the pre-funded warrants (by either adopting or refining the manufacturers’ target market assessment) and determining appropriate distribution channels.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7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ADSs, ordinary shares or pre-funded warrants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and will not be lodged or registered with the Monetary Authority of Singapore. Accordingly, this prospectus supplement and any other document or material in connection with the offer or sale, or the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17" w:lineRule="exact"/>
        <w:rPr>
          <w:sz w:val="20"/>
          <w:szCs w:val="20"/>
          <w:color w:val="auto"/>
        </w:rPr>
      </w:pPr>
    </w:p>
    <w:p>
      <w:pPr>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trust is an individual who is an accredited investor,</w:t>
      </w:r>
    </w:p>
    <w:p>
      <w:pPr>
        <w:spacing w:after="0" w:line="117"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then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68" w:lineRule="exact"/>
        <w:rPr>
          <w:sz w:val="20"/>
          <w:szCs w:val="20"/>
          <w:color w:val="auto"/>
        </w:rPr>
      </w:pPr>
    </w:p>
    <w:p>
      <w:pPr>
        <w:ind w:left="1000" w:right="5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Kuwait</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securities have not been authorized or licensed for offering, marketing or sale in the State of Kuwait. The distribution of this prospectus and the offering and sale of the securities in the State of Kuwait is restricted by law unless a license is obtained from the Kuwait Ministry of Commerce and Industry in accordance with Law 31 of 1990. Persons into whose possession this prospectus comes are required by us and the international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underwriters to inform themselves about and to observe such restrictions. Investors in the State of Kuwait who approach us or any of the international underwriters to obtain copies of this prospectus are required by us and the international underwriters to keep such prospectus confidential and not to make copies thereof or distribute the same to any other person and are also required to observe the restrictions provided for in all jurisdictions with respect to offering, marketing and the sale of the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Qatar</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securities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Saudi Arabia</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80"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Centre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68" w:lineRule="exact"/>
        <w:rPr>
          <w:sz w:val="20"/>
          <w:szCs w:val="20"/>
          <w:color w:val="auto"/>
        </w:rPr>
      </w:pPr>
    </w:p>
    <w:p>
      <w:pPr>
        <w:ind w:left="300" w:right="419"/>
        <w:spacing w:after="0" w:line="274" w:lineRule="auto"/>
        <w:rPr>
          <w:sz w:val="20"/>
          <w:szCs w:val="20"/>
          <w:color w:val="auto"/>
        </w:rPr>
      </w:pPr>
      <w:r>
        <w:rPr>
          <w:rFonts w:ascii="Times New Roman" w:cs="Times New Roman" w:eastAsia="Times New Roman" w:hAnsi="Times New Roman"/>
          <w:sz w:val="17"/>
          <w:szCs w:val="17"/>
          <w:color w:val="auto"/>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except that the securities may be offered to the public in the United Kingdom at any time:</w:t>
      </w:r>
    </w:p>
    <w:p>
      <w:pPr>
        <w:spacing w:after="0" w:line="68"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paragraph 15 of Schedule 1 of the POATR;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paragraph 15 of Schedule 1 of the POATR),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17"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“POATR” means the Public Offers and Admissions to Trading Regulations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purchasing, owning and disposing of ADSs acquired pursuant to this offering and beneficially owned by U.S. persons. This summary does not address any aspect of U.S. federal non-income tax laws, such as U.S. federal estate and gift tax laws, or state, local or non-U.S. tax laws, and does not purport to be a comprehensive description of all of the U.S. tax considerations that may be relevant to a particular person’s decision to acquire ADSs (such as the effects of section 451(b) of the Internal Revenue Code of 1986, as amended (the “Code”)).</w:t>
      </w:r>
    </w:p>
    <w:p>
      <w:pPr>
        <w:spacing w:after="0" w:line="7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discussion applies to you only if you acquire the ADSs in this offering and you hold the ADSs as capital assets for U.S. federal income tax purposes (generally, property held for investment). This section does not apply to you if you are a member of a special class of holders subject to special tax rules, including:</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commodities or foreign currencies;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its securities holdings;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governmental organization;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real estate investment trust;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 former U.S. citizen or former long term resident of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retirement or other tax-deferred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liable for alternative minimum tax;</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actually or constructively owns 10% or more, by voting power or value, of our stock (including stock represented by ADSs);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U.S. federal income tax purposes;</w:t>
      </w:r>
    </w:p>
    <w:p>
      <w:pPr>
        <w:spacing w:after="0" w:line="117"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received our ADSs through the exercise of employee stock options or otherwise as compensation;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holds ADSs as part of a straddle, hedging, constructive sale, conversion or other integrated transaction for U.S. federal income tax purposes;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1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This section is based on the Code, existing and proposed income tax regulations issued under the Code, legislative history, and judicial and administrative interpretations thereof, all as of the date of this offering. All of the foregoing are subject to change at any time, and any change could be retroactive and could affect the accuracy of this discussion. In addition, the application and interpretation of certain aspects of the PFIC rules, referred to below, require the issuance of regulations which in many instances have not been promulgated and which may have retroactive effect. There can be no assurance that any of these regulations will be enacted or promulgated, and if so, the form they will take or the effect that they may have on this discussion. This discussion is not binding on the U.S. Internal Revenue Service (the “IRS”) or the courts. No ruling has been or will be sought from the IRS with respect to the positions and issues discussed herein, and there can be no assurance that the IRS or a court will not take a different position concerning the U.S. federal income tax consequences of an investment in the ADSs or that any such position would not be sustained.</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PROSPECTIVE INVESTORS SHOULD CONSULT THEIR OWN TAX ADVISORS CONCERNING THE</w:t>
      </w:r>
    </w:p>
    <w:p>
      <w:pPr>
        <w:spacing w:after="0" w:line="27"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U.S. FEDERAL, STATE, LOCAL AND NON-U.S. TAX CONSEQUENCES OF PURCHASING, OWNING AND DISPOSING OF THE ADSs IN THEIR PARTICULAR SITUATIONS.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You are a “U.S. holder” if you are a beneficial owner of ADSs that acquired the ADSs pursuant to this offering and you are:</w:t>
      </w:r>
    </w:p>
    <w:p>
      <w:pPr>
        <w:spacing w:after="0" w:line="54"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has a valid election in effect under applicable U.S. Treasury regulations to be treated as a U.S. person for U.S. federal income tax purposes.</w:t>
      </w:r>
    </w:p>
    <w:p>
      <w:pPr>
        <w:spacing w:after="0" w:line="72"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In addition, this discussion is limited to holders who are not resident in France for purposes of the income tax treaty between the United States and France.</w:t>
      </w:r>
    </w:p>
    <w:p>
      <w:pPr>
        <w:spacing w:after="0" w:line="5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treated as a partnership for U.S. federal income tax purposes) is a beneficial owner of the ADSs, the U.S. tax treatment of a partner in the partnership generally will depend on the status of the partner and the activities of the partnership. A holder of the ADSs that is a partnership and partners in such a partnership should consult their own tax advisors concerning the U.S. federal income tax consequences of purchasing, owning and disposing of ADSs.</w:t>
      </w:r>
    </w:p>
    <w:p>
      <w:pPr>
        <w:spacing w:after="0" w:line="75"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ADSs that acquired the ADSs pursuant to this offering and that is neither a U.S. holder nor a partnership for U.S. federal income tax purposes.</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holders of ADSs should be treated for U.S. federal income tax purposes as holding the ordinary shares represented by the ADSs. Accordingly, no gain or loss will be recognized upon an exchange of ordinary shares for ADSs or an exchange of ADSs for ordinary shares. The U.S. Treasury has expressed concerns that parties to whom ADSs are released before shares are delivered to the depositary, or intermediaries in the chain of ownership between the holder of an ADS and the issuer of the security underlying the ADS may be taking actions that are inconsistent with the claiming of foreign tax credits for U.S. holders of ADSs. Accordingly, the creditability of foreign taxes, if any, as described below, could be affected by actions taken by such parties or intermediaries.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PFIC Considerations</w:t>
      </w:r>
    </w:p>
    <w:p>
      <w:pPr>
        <w:spacing w:after="0" w:line="12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Code provides special rules regarding certain distributions received by U.S. persons with respect to, and sales, exchanges and other dispositions, including pledges, of, shares of stock (including ordinary shares represented by ADSs) in, a PFIC. A non-U.S. corporation will be treated as a PFIC for any taxable year in which either: (1) at least 75% of its gross income is “passive income” or (2) at least 50% of its gross assets during the taxable year (based on the average of the fair market values of the assets determined at the end of each quarterly period) are “passive assets,” which generally means that they produce passive income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 rata portion of the income and assets of each corporation in which it owns, directly or indirectly, at least a 25% interest (by value) is taken into account.</w:t>
      </w:r>
    </w:p>
    <w:p>
      <w:pPr>
        <w:spacing w:after="0" w:line="86"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Although not free from doubt, we do not believe that we were a PFIC for the taxable year ended December 31, 2025. No assurances may be given at this time as to our PFIC status for the taxable year ending December 31, 2026 or subsequent taxable years. Our PFIC status must be determined annually and therefore is subject to change. Because this determination is made annually at the end of each taxable year and is dependent upon a number of factors, some of which are beyond our control, including the amount and nature of our income (including whether reimbursements of certain refundable research tax credits will constitute gross income for purpose of the PFIC income test), as well as on the market valuation of our assets and our spending schedule for our cash balances, and because certain aspects of the PFIC rules are not entirely certain, there can be no assurance that we were not a PFIC, that we are not or will not become a PFIC or that the IRS will agree with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99"/>
        <w:spacing w:after="0" w:line="261" w:lineRule="auto"/>
        <w:rPr>
          <w:sz w:val="20"/>
          <w:szCs w:val="20"/>
          <w:color w:val="auto"/>
        </w:rPr>
      </w:pPr>
      <w:r>
        <w:rPr>
          <w:rFonts w:ascii="Times New Roman" w:cs="Times New Roman" w:eastAsia="Times New Roman" w:hAnsi="Times New Roman"/>
          <w:sz w:val="18"/>
          <w:szCs w:val="18"/>
          <w:color w:val="auto"/>
        </w:rPr>
        <w:t>our conclusion regarding our PFIC status. If we are not a PFIC during any taxable year in which you hold ADSs, then the remainder of the discussion under “—Material U.S. Federal Income Tax Considerations,” outside of this “—PFIC Considerations” portion may be relevant to you. U.S. holders should consult their tax advisors as to the applicability of the PFIC rules.</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 U.S. holder that holds ADSs during any taxable year in which we qualify as a PFIC is subject to special tax rules with respect to (a) any gain realized on the sale, exchange or other disposition of the ADSs and (b) any “excess distribution” by the corporation to the holder, unless the holder elects to treat the PFIC as a “qualified electing fund” (QEF) or makes a “mark-to-market” election, each as discussed below. An “excess distribution” is that portion of a distribution with respect to ADSs that exceeds 125% of the annual average of such distributions over the preceding three-year period or, if shorter, the U.S. holder’s holding period for its ADSs. Excess distributions and gains on the sale, exchange or other disposition of ADSs of a corporation which was a PFIC at any time during the U.S. holder’s holding period are allocated ratably to each day of the U.S. holder’s holding period. Amounts allocated to the taxable year in which the disposition occurs and amounts allocated to any period in the shareholder’s holding period before the first day of the first taxable year that the corporation was a PFIC will be taxed as ordinary income (rather than capital gain) earned in the taxable year of the disposition. Amounts allocated to each of the other taxable years in the U.S. holder’s holding period are not included in gross income for the year of the disposition, but are subject to the highest ordinary income tax rates in effect for individuals or corporations, as applicable, for each such year and the interest charge generally applicable to income tax deficiencies will be imposed on the resulting tax attributable to each year. The tax liability for amounts allocated to years before the year of disposition or “excess distribution” cannot be offset by any net operating losses for such years, and gains (but not losses) realized on the sale of the ADSs cannot be treated as capital, even if a U.S. holder held such ADSs as capital assets.</w:t>
      </w:r>
    </w:p>
    <w:p>
      <w:pPr>
        <w:spacing w:after="0" w:line="8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ADSs, then we generally will continue to be treated as a PFIC with respect to the holder for all succeeding years during which such holder holds ADSs, even if we no longer satisfy either the passive income or passive asset tests described above, unless the U.S. holder terminates this deemed PFIC status by making a “deemed sale” election. If such election is made, a U.S. holder will be deemed to have sold the ADSs at their fair market value on the last day of the last taxable year for which we were a PFIC, and any gain from such deemed sale would be subject to the excess distribution rules as described above. After the deemed sale election, the ADSs with respect to which the deemed sale election was made will not be treated as shares in a PFIC unless we subsequently become a PFIC.</w:t>
      </w:r>
    </w:p>
    <w:p>
      <w:pPr>
        <w:spacing w:after="0" w:line="84"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If we are or become a PFIC, the excess distribution rules may be avoided if a U.S. holder makes a QEF election effective beginning with the first taxable year in the holder’s holding period in which we are treated as a PFIC with respect to such holder. A U.S. holder that makes a QEF election with respect to a PFIC is required to include in income its pro rata share of the PFIC’s ordinary earnings and net capital gain as ordinary income and capital gain, respectively, subject to a separate election to defer payment of taxes, which deferral is subject to an interest charge.</w:t>
      </w:r>
    </w:p>
    <w:p>
      <w:pPr>
        <w:spacing w:after="0" w:line="6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general, a U.S. holder makes a QEF election by attaching a completed IRS Form 8621 to a timely filed (taking into account any extensions) U.S. federal income tax return for the year beginning with which the QEF election is to be effective. In certain circumstances, a U.S. holder may be able to make a retroactive QEF election. A QEF election can be revoked only with the consent of the IRS. In order for a U.S. holder to make a valid QEF election, the non-U.S. corporation must annually provide or make available to the holder certain information. At this time, we have not determined whether we will provide to U.S. holders the information required to make a valid QEF election and we currently make no undertaking to provide such information.</w:t>
      </w:r>
    </w:p>
    <w:p>
      <w:pPr>
        <w:spacing w:after="0" w:line="8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As an alternative to making a QEF election, a U.S. holder may make a “mark-to-market” election with respect to its ADSs if the ADSs meet certain minimum trading requirements, as described below. If a U.S. holder makes a valid mark-to-market election for the first taxable year in which such holder holds (or is deemed to hold) ADSs in a corporation and for which such corporation is determined to be a PFIC, such holder generally will not be subject to the PFIC rules described above in respect of its ADSs. Instead, a U.S. holder that makes a mark-to-market election will be required to include in income each year an amount equal to the excess, if any, of the fair market value of the ADSs that the holder owns as of the close of the taxable year over the holder’s adjusted tax basis in the ADSs. The U.S. holder will be entitled to a deduction for the excess, if any, of the holder’s adjusted tax basis in the ADSs over the fair market value of the ADSs as of the close of the taxable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year; provided, however, that the deduction will be limited to the extent of any net mark-to-market gains with respect to the ADSs included by the U.S. holder under the election for prior taxable years. The U.S. holder’s basis in the ADSs will be adjusted to reflect the amounts included or deducted pursuant to the election. Amounts included in income pursuant to a mark-to-market election, as well as gain on the sale, exchange or other disposition of the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 If a U.S. holder makes a valid mark-to-market election, any distributions made by us in a year in which we are a PFIC would generally be subject to the rules discussed below under “—Taxation of Dividends,” except the lower rate applicable to qualified dividend income would not apply. If we are not a PFIC when a U.S. holder has a mark-to-market election in effect, gain or loss realized by a U.S. holder on the sale of our ADSs will be a capital gain or loss and taxed in the manner described below under “—Taxation of Sale, Exchange or other Disposition of ADSs.”</w:t>
      </w:r>
    </w:p>
    <w:p>
      <w:pPr>
        <w:spacing w:after="0" w:line="8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mark-to-market election applies to the taxable year for which the election is made and all subsequent taxable years, unless the ADSs cease to meet applicable trading requirements (described below) or the IRS consents to its revocation. The excess distribution rules generally do not apply to a U.S. holder for taxable years for which a mark-to-market election is in effect. If we are a PFIC for any year in which the U.S. holder owns ADSs but before a mark-to-market election is made, the interest charge rules described above will apply to any mark-to-market gain recognized in the year the election is made.</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 mark-to-market election is available only if the ADSs are considered “marketable” for these purposes. ADSs will be marketable if they are regularly traded on a national securities exchange that is registered with the SEC (such as the Nasdaq Global Select Market) or the underlying ordinary shares are regularly traded on a non-U.S. exchange or market that the IRS determines has rules sufficient to ensure that the market price represents a legitimate and sound fair market value. For these purposes, ADSs will be considered regularly traded during any calendar year during which more than a de minimis quantity of the ADSs is traded on at least 15 days during each calendar quarter. Any trades that have as their principal purpose meeting this requirement will be disregarded. Each U.S. holder should ask its own tax advisor whether a mark-to-market election is available or desirable.</w:t>
      </w:r>
    </w:p>
    <w:p>
      <w:pPr>
        <w:spacing w:after="0" w:line="84" w:lineRule="exact"/>
        <w:rPr>
          <w:sz w:val="20"/>
          <w:szCs w:val="20"/>
          <w:color w:val="auto"/>
        </w:rPr>
      </w:pPr>
    </w:p>
    <w:p>
      <w:pPr>
        <w:ind w:left="300" w:right="819"/>
        <w:spacing w:after="0" w:line="257" w:lineRule="auto"/>
        <w:rPr>
          <w:sz w:val="20"/>
          <w:szCs w:val="20"/>
          <w:color w:val="auto"/>
        </w:rPr>
      </w:pPr>
      <w:r>
        <w:rPr>
          <w:rFonts w:ascii="Times New Roman" w:cs="Times New Roman" w:eastAsia="Times New Roman" w:hAnsi="Times New Roman"/>
          <w:sz w:val="18"/>
          <w:szCs w:val="18"/>
          <w:color w:val="auto"/>
        </w:rPr>
        <w:t>If we are a PFIC for any year in which a U.S. holder holds ADSs, such U.S. holder must generally file an IRS Form 8621 annually. A U.S. holder must also provide such other information as may be required by the U.S. Treasury Department if the U.S. holder (1) receives certain direct or indirect distributions from a PFIC,</w:t>
      </w:r>
    </w:p>
    <w:p>
      <w:pPr>
        <w:spacing w:after="0" w:line="1" w:lineRule="exact"/>
        <w:rPr>
          <w:sz w:val="20"/>
          <w:szCs w:val="20"/>
          <w:color w:val="auto"/>
        </w:rPr>
      </w:pPr>
    </w:p>
    <w:p>
      <w:pPr>
        <w:ind w:left="300" w:right="739" w:hanging="8"/>
        <w:spacing w:after="0" w:line="260" w:lineRule="auto"/>
        <w:tabs>
          <w:tab w:leader="none" w:pos="5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gain on a direct or indirect disposition of ADSs, or (3) makes certain elections (including a QEF election or a mark-to-market election) reportable on IRS Form 8621.</w:t>
      </w:r>
    </w:p>
    <w:p>
      <w:pPr>
        <w:spacing w:after="0" w:line="73"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If we are a PFIC, then under attribution rules, U.S. holders of our ADSs will be deemed to own their proportionate shares of our subsidiaries that are PFICs, if any. It is possible that one or more of our subsidiaries is or will become a PFIC. This determination is made annually at the end of each taxable year and depends upon a number of factors, some of which are beyond our control, including the amount and nature of a subsidiary’s income, as well as the valuation and nature of a subsidiary’s assets. In the event that we are a PFIC and we have a subsidiary that is a PFIC, assuming a U.S. holder does not receive from such subsidiary the information that the U.S. holder needs to make a QEF election with respect to such a subsidiary, a U.S. holder generally will be deemed to own a portion of the shares of such lower-tier PFIC and may incur liability for a deferred tax and interest charge if we receive a distribution from, or dispose of all or part of our interest in, or the U.S. holder otherwise is deemed to have disposed of an interest in, the lower-tier PFIC, even though the U.S. holder has not received the proceeds of those distributions or dispositions directly. There is no assurance that we will have timely knowledge of the status of any such lower-tier PFIC, or that we will cause the lower-tier PFIC to provide the required information for a U.S. holder to make and maintain a QEF election with respect to the lower-tier PFIC. In addition, a mark-to-market election generally would not be available with respect to such a lower-tier PFIC and, consequently, if you make a mark-to-market election with respect to our ADSs, you could be subject to the PFIC rules with respect to income of lower-tier PFICs the value of which already had been taken into account indirectly via mark-to-market adjustments. U.S. holders are advised to consult with their tax advisors regarding the tax issues raised by lower-tier PFICs.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739"/>
        <w:spacing w:after="0" w:line="262"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as to our status as a PFIC, and, if we are treated as a PFIC, as to the effect on them of, and the reporting requirements with respect to, the PFIC rules and the desirability of making, and the availability of, either a QEF election or a mark-to-market election with respect to our ADSs.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1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Subject to the PFIC rules described above under “—PFIC Considerations,” if you are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must include in your gross income the gross amount of any distributions of cash or property (other than certain pro rata distributions of ADSs) with respect to ADSs, to the extent the distribution is paid out of our current or accumulated earnings and profits, as determined for U.S. federal income tax purposes. A U.S. holder must include the dividend as ordinary income at the time of actual or constructive receipt. The amount of any dividend income paid in Euro will be the U.S. dollar amount calculated by reference to the exchange rate in effect on the date of the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Distributions in excess of current and accumulated earnings and profits, as determined for U.S. federal income tax purposes, will be treated as a non-taxable return of capital to the extent of your basis in the ADSs and thereafter as capital gain from the sale or exchange of such ADSs. Notwithstanding the foregoing, we do not intend to maintain calculations of our earnings and profits as determined for U.S. federal income tax purposes. Consequently, distributions generally will be reported as dividend income for U.S. information reporting purposes. The dividend will not be eligible for the dividends-received deduction generally allowed to U.S. corporations in respect of dividends received from other U.S. corporations.</w:t>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the PFIC rules described above under “—PFIC Considerations,” dividends paid by a non-</w:t>
      </w:r>
    </w:p>
    <w:p>
      <w:pPr>
        <w:spacing w:after="0" w:line="27" w:lineRule="exact"/>
        <w:rPr>
          <w:sz w:val="20"/>
          <w:szCs w:val="20"/>
          <w:color w:val="auto"/>
        </w:rPr>
      </w:pPr>
    </w:p>
    <w:p>
      <w:pPr>
        <w:ind w:left="300" w:right="539"/>
        <w:spacing w:after="0" w:line="265" w:lineRule="auto"/>
        <w:rPr>
          <w:sz w:val="20"/>
          <w:szCs w:val="20"/>
          <w:color w:val="auto"/>
        </w:rPr>
      </w:pPr>
      <w:r>
        <w:rPr>
          <w:rFonts w:ascii="Times New Roman" w:cs="Times New Roman" w:eastAsia="Times New Roman" w:hAnsi="Times New Roman"/>
          <w:sz w:val="17"/>
          <w:szCs w:val="17"/>
          <w:color w:val="auto"/>
        </w:rPr>
        <w:t>U.S. corporation generally will be taxed at the preferential tax rates applicable to long-term capital gain of non-corporate taxpayers if (a) such non-U.S. corporation is eligible for the benefits of certain U.S. treaties or the dividend is paid by such non-U.S. corporation with respect to stock that is readily tradable on an established securities market in the United States, (b) the U.S. holder receiving such dividend is an individual, estate, or trust,</w:t>
      </w:r>
    </w:p>
    <w:p>
      <w:pPr>
        <w:spacing w:after="0" w:line="1" w:lineRule="exact"/>
        <w:rPr>
          <w:sz w:val="20"/>
          <w:szCs w:val="20"/>
          <w:color w:val="auto"/>
        </w:rPr>
      </w:pPr>
    </w:p>
    <w:p>
      <w:pPr>
        <w:ind w:left="300" w:right="319" w:hanging="8"/>
        <w:spacing w:after="0" w:line="251" w:lineRule="auto"/>
        <w:tabs>
          <w:tab w:leader="none" w:pos="5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dividend is paid on shares that have been held by such U.S. holder for at least 61 days during the 121-day period beginning 60 days before the “ex-dividend date,” and (d) we are not a PFIC in the year of the dividend or the immediately preceding year. If the requirements of the immediately preceding paragraph are not satisfied, a dividend paid by a non-U.S. corporation to a U.S. holder, including a U.S. holder that is an individual, estate, or trust, generally will be taxed at ordinary income tax rates (and not at the preferential tax rates applicable to long-term capital gains). As discussed above under “—PFIC Considerations,” it is not yet known whether we will be a PFIC for taxable years ending after December 31, 2025. The dividend rules are complex, and each U.S. holder should consult its own tax advisor regarding the dividend rules.</w:t>
      </w:r>
    </w:p>
    <w:p>
      <w:pPr>
        <w:spacing w:after="0" w:line="86"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amount of dividend will include any amounts withheld by us in respect of French taxes. Subject to applicable limitations, some of which vary depending upon the U.S. holder’s circumstances and subject to the discussion above regarding concerns expressed by the U.S. Treasury and the Foreign Tax Credit Regulations (as defined below), French income taxes withheld from dividends on ADSs at a rate not exceeding the rate provided by the Treaty will be creditable against the U.S. holder’s U.S. federal income tax liability. U.S. holders should consult their tax advisors regarding the availability of foreign tax credits for any amounts withheld with respect to dividends on the ADSs.</w:t>
      </w:r>
    </w:p>
    <w:p>
      <w:pPr>
        <w:spacing w:after="0" w:line="81" w:lineRule="exact"/>
        <w:rPr>
          <w:sz w:val="20"/>
          <w:szCs w:val="20"/>
          <w:color w:val="auto"/>
        </w:rPr>
      </w:pPr>
    </w:p>
    <w:p>
      <w:pPr>
        <w:jc w:val="both"/>
        <w:ind w:left="300" w:right="319"/>
        <w:spacing w:after="0" w:line="270" w:lineRule="auto"/>
        <w:rPr>
          <w:sz w:val="20"/>
          <w:szCs w:val="20"/>
          <w:color w:val="auto"/>
        </w:rPr>
      </w:pPr>
      <w:r>
        <w:rPr>
          <w:rFonts w:ascii="Times New Roman" w:cs="Times New Roman" w:eastAsia="Times New Roman" w:hAnsi="Times New Roman"/>
          <w:sz w:val="17"/>
          <w:szCs w:val="17"/>
          <w:color w:val="auto"/>
        </w:rPr>
        <w:t>Dividends received generally will be income from non-U.S. sources, which may be relevant in calculating your U.S. foreign tax credit limitation. Such non-U.S. source income generally will be “passive category income,” or in certain cases “general category income” or “foreign branch” income, which is treated separately from other types of income for purposes of computing the foreign tax credit allowable to you. Further, certain regulations issued by the U.S.</w:t>
      </w:r>
    </w:p>
    <w:p>
      <w:pPr>
        <w:spacing w:after="0" w:line="3" w:lineRule="exact"/>
        <w:rPr>
          <w:sz w:val="20"/>
          <w:szCs w:val="20"/>
          <w:color w:val="auto"/>
        </w:rPr>
      </w:pPr>
    </w:p>
    <w:p>
      <w:pPr>
        <w:ind w:left="300" w:right="419"/>
        <w:spacing w:after="0" w:line="252" w:lineRule="auto"/>
        <w:rPr>
          <w:sz w:val="20"/>
          <w:szCs w:val="20"/>
          <w:color w:val="auto"/>
        </w:rPr>
      </w:pPr>
      <w:r>
        <w:rPr>
          <w:rFonts w:ascii="Times New Roman" w:cs="Times New Roman" w:eastAsia="Times New Roman" w:hAnsi="Times New Roman"/>
          <w:sz w:val="18"/>
          <w:szCs w:val="18"/>
          <w:color w:val="auto"/>
        </w:rPr>
        <w:t>Department of Treasury addressing foreign tax credits (the “Foreign Tax Credit Regulations”) impose additional requirements for foreign taxes to be eligible for a foreign tax credit if the relevant taxpayer does not elect to apply the benefits of an applicable income tax treaty, and there can be no assurance that those requirements will be satisfied. Recent notices from the IRS provide temporary relief by allowing taxpayers that comply with applicable requirements to apply many aspects of the foreign tax credit regulations as they previously existed (before the release of the current Foreign Tax Credit Regulations) for taxable years ending before the date that a notice or other guidance withdrawing or modifying the temporary relief is issued (or 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later date specified in such notice or other guidance). The rules with respect to the foreign tax credit are complex and involve the application of rules that depend upon a U.S. holder’s particular circumstances. You should consult your own tax advisor to determine the foreign tax credit implications of owning the ADSs, including under the Foreign Tax Credit Regulations.</w:t>
      </w:r>
    </w:p>
    <w:p>
      <w:pPr>
        <w:spacing w:after="0" w:line="70"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If you are a non-U.S. holder, dividends paid to you generally will not be subject to U.S.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unless the dividends are “effectively connected” with your conduct of a trade or business within the United States, and the dividends are attributable to a permanent establishment (or in the case of an individual, a fixed place of business) that you maintain in the United States if that is required by an applicable income tax treaty as a condition for subjecting you to U.S. taxation on a net income basis. In such cases you generally will be taxed in the same manner as a U.S. holder (other than with respect to the Medicare Tax described below). If you are a corporate non-U.S. holder, “effectively connected” dividends may, under certain circumstances, be subject to an additional “branch profits tax” at a 30% rate or a lower rate if you are eligible for the benefits of an income tax treaty that provides for a lower rate.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Sale, Exchange or other Disposition of ADSs</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Subject to the PFIC rules described above under “—PFIC Considerations,” if you are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you sell, exchange or otherwise dispose of your ADSs, you generally will recognize capital gain or loss for U.S. federal income tax purposes equal to the difference between the value of the amount realized and your tax basis in those ADSs. Gain or loss recognized on such a sale, exchange or other disposition of ADSs generally will be long-term capital gain if you have held the ADSs for more than one year. Long-term capital gains of U.S. holders who are individuals (as well as certain trusts and estates) are generally taxed at preferential rates. The gain or loss will generally be income or loss from sources within the United States for foreign tax credit limitation purposes, unless it is attributable to an office or other fixed place of business outside the United States and certain other conditions are met. Your ability to deduct capital losses is subject to limitations. As discussed above under “—PFIC Considerations,” it is not yet known whether we will be a PFIC for taxable years ending after December 31, 2025.</w:t>
      </w:r>
    </w:p>
    <w:p>
      <w:pPr>
        <w:spacing w:after="0" w:line="77" w:lineRule="exact"/>
        <w:rPr>
          <w:sz w:val="20"/>
          <w:szCs w:val="20"/>
          <w:color w:val="auto"/>
        </w:rPr>
      </w:pPr>
    </w:p>
    <w:p>
      <w:pPr>
        <w:ind w:left="300" w:right="1079"/>
        <w:spacing w:after="0" w:line="284" w:lineRule="auto"/>
        <w:rPr>
          <w:sz w:val="20"/>
          <w:szCs w:val="20"/>
          <w:color w:val="auto"/>
        </w:rPr>
      </w:pP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If you are a non-U.S. holder, you will not be subject to U.S. federal income tax on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on the sale, exchange or other disposition of your ADSs unless:</w:t>
      </w:r>
    </w:p>
    <w:p>
      <w:pPr>
        <w:spacing w:after="0" w:line="52" w:lineRule="exact"/>
        <w:rPr>
          <w:sz w:val="20"/>
          <w:szCs w:val="20"/>
          <w:color w:val="auto"/>
        </w:rPr>
      </w:pPr>
    </w:p>
    <w:p>
      <w:pPr>
        <w:ind w:left="1000" w:right="35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and the gain is attributable to a permanent establishment (or in the case of an individual, a fixed place of business) that you maintain in the United States if that is required by an applicable income tax treaty as a condition for subjecting you to U.S. taxation on a net income basis; or</w:t>
      </w:r>
    </w:p>
    <w:p>
      <w:pPr>
        <w:spacing w:after="0" w:line="71"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you are present in the United States for 183 or more days in the taxable year of such sale, exchange or other disposition and certain other conditions are met.</w:t>
      </w:r>
    </w:p>
    <w:p>
      <w:pPr>
        <w:spacing w:after="0" w:line="54"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In the first case, the non-U.S. holder will be taxed in the same manner as a U.S. holder (other than with respect to the Medicare Tax described below). In the second case, the non-U.S. holder will be subject to U.S. federal income tax at a rate of 30% on the amount by which such non-U.S. holder’s U.S.-source capital gains exceed such non-U.S. holder’s U.S.-source capital losses.</w:t>
      </w:r>
    </w:p>
    <w:p>
      <w:pPr>
        <w:spacing w:after="0" w:line="72"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estates or trusts are required to pay a 3.8% Medicare surtax on all or part of that holder’s “net investment income,” which includes, among other items, dividends on, and capital gains from the sale or other taxable disposition of, the ADSs, subject to certain limitations and exceptions. Prospective investors should consult their own tax advisors regarding the effect, if any, of this surtax on their ownership and disposition of the ADSs.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U.S. holders that are individuals (and, to the extent provided in regulations, certain entities) that own “specified foreign financial assets,” including possibly the ADSs, with an aggregate value in excess of $50,000 are generally required to file IRS Form 8938 with information regarding such assets. Depending on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circumstances, higher threshold amounts may apply.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non-U.S. entities. If a U.S. holder is subject to this information reporting regime, the failure to timely file IRS Form 8938 may subject the U.S. holder to penalties. In addition to these requirements, U.S. holders may be required to annually file FinCEN Report 114 (Report of Foreign Bank and Financial Accounts) with the U.S. Department of Treasury. Prospective investors are encouraged to consult their own tax advisors with respect to these and other reporting requirements that may apply to their acquisition of the ADSs.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distributions made on our ADSs within the United States to a non-corporate U.S. holder and to the proceeds from the sale, exchange, redemption or other disposition of ADSs by a non-corporate U.S. holder through a U.S. office of a broker. Payments made (and sales or other dispositions effected at an office) outside the U.S. will be subject to information reporting in limited circumstances.</w:t>
      </w:r>
    </w:p>
    <w:p>
      <w:pPr>
        <w:spacing w:after="0" w:line="75"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U.S. holders may be subject to backup withholding with respect to dividends on and proceeds from the sale, exchange or other disposition of the ADSs. A paying agent within the United States will be required to withhold at the applicable statutory rate, currently 24%, in respect of any payments of dividends on, and the proceeds from the disposition of, ADSs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8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 required information. U.S. holders are advised to consult with their own tax advisors regarding the application of the United States information reporting rules to their particular circumstances.</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 non-U.S. holder generally may eliminate the requirement for information reporting and backup withholding by providing certification of its non-U.S. status to the payor, under penalties of perjury, on IRS Form W-8BEN or W-8BEN-E, as applicable. You should consult your own tax advisor as to the qualifications for exemption from backup withholding and the procedures for obtaining the exemption.</w:t>
      </w:r>
    </w:p>
    <w:p>
      <w:pPr>
        <w:spacing w:after="0" w:line="68" w:lineRule="exact"/>
        <w:rPr>
          <w:sz w:val="20"/>
          <w:szCs w:val="20"/>
          <w:color w:val="auto"/>
        </w:rPr>
      </w:pPr>
    </w:p>
    <w:p>
      <w:pPr>
        <w:ind w:left="300" w:right="539"/>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does not purport to be a complete analysis of the potential tax considerations relating to the offering. Prospective investors should consult their own tax advisors as to the particular tax considerations applicable to them relating to the purchase, ownership and disposition of the ADSs, including the applicability of U.S. federal, state and local income tax laws or non-income tax laws, non-U.S. tax laws, and any changes in applicable tax laws and any pending or proposed legislation or regulations.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French Income Tax Considerations</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describes the material French income tax consequences to U.S. Holders (as defined below for the purposes of this section) of purchasing, owning and disposing of the ADSs and pre-funded warrants and, unless otherwise noted, this discussion is the opinion of Jones Day, our French tax counsel, insofar as it relates to matters of French tax law and legal conclusions with respect to those matters.</w:t>
      </w:r>
    </w:p>
    <w:p>
      <w:pPr>
        <w:spacing w:after="0" w:line="72"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This discussion does not purport to be a complete analysis or listing of all potential tax effects of the acquisition, ownership or disposition of our ADSs or pre-funded warrants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75"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2011, France introduced a comprehensive set of new tax rules applicable to French assets that are held by or in foreign trusts. These rules, among other things, provide for the inclusion of trust assets in the settlor’s net assets for purposes of applying the French real estate wealth tax, for the application of French gift and death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securities (including ADSs) held in trusts. If securities are held in trust, the grantor, trustee and beneficiary are urged to consult their own tax advisors regarding the specific tax consequences of acquiring, owning and disposing of securities.</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description of the French income tax and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tax guidelines issued by the French tax authorities in force as of the date hereof, or the Treaty.</w:t>
      </w:r>
    </w:p>
    <w:p>
      <w:pPr>
        <w:spacing w:after="0" w:line="7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For the purposes of this discussion of French income tax consequences, the term “U.S. Holder” means a beneficial owner of ADSs or pre-funded warrants that is (1) an individual who is a U.S. citizen or resident for U.S. federal income tax purposes, (2) a U.S. domestic corporation or certain other entities created or organized in or under the laws of the United States, any state thereof, or the District of Columbia, or (3) otherwise subject to U.S. federal income taxation on a net income basis in respect of ADSs or pre-funded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ADSs or pre-funded warrants, the tax treatment of a partner generally will depend upon the status of the partner and the activities of the partnership. If a U.S. Holder is a partner in a partnership that holds ADSs or pre-funded warrants, such holder is urged to consult its own tax adviser regarding the specific tax consequences of acquiring, owning and disposing of ADSs or pre-funded warrants.</w:t>
      </w:r>
    </w:p>
    <w:p>
      <w:pPr>
        <w:spacing w:after="0" w:line="75"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This discussion applies only to investors that hold our ADSs or pre-funded warrants as capital assets that have the U.S. dollar as their functional currency, that are entitled to Treaty benefits under the “Limitation on Benefits” provision contained in the Treaty, and whose ownership of the ADSs or pre-funded warrants is not effectively connected to a permanent establishment or a fixed base in France.</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ADSs or pre-funded warrants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ADSs or pre-funded warrants as a position in a synthetic security, straddle or conversion transaction) may be subject to special rules not discussed below.</w:t>
      </w:r>
    </w:p>
    <w:p>
      <w:pPr>
        <w:spacing w:after="0" w:line="84"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U.S. Holders are urged to consult their own tax advisors regarding the tax consequences of the purchase, ownership and disposition of ADSs or pre-funded warrants in light of their particular circumstances, especially with regard to the “Limitations on Benefits” provision.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Taxes</w:t>
      </w:r>
    </w:p>
    <w:p>
      <w:pPr>
        <w:spacing w:after="0" w:line="121" w:lineRule="exact"/>
        <w:rPr>
          <w:sz w:val="20"/>
          <w:szCs w:val="20"/>
          <w:color w:val="auto"/>
        </w:rPr>
      </w:pPr>
    </w:p>
    <w:p>
      <w:pPr>
        <w:ind w:left="300" w:right="419"/>
        <w:spacing w:after="0" w:line="273" w:lineRule="auto"/>
        <w:rPr>
          <w:sz w:val="20"/>
          <w:szCs w:val="20"/>
          <w:color w:val="auto"/>
        </w:rPr>
      </w:pPr>
      <w:r>
        <w:rPr>
          <w:rFonts w:ascii="Times New Roman" w:cs="Times New Roman" w:eastAsia="Times New Roman" w:hAnsi="Times New Roman"/>
          <w:sz w:val="17"/>
          <w:szCs w:val="17"/>
          <w:color w:val="auto"/>
        </w:rPr>
        <w:t>In general, a transfer of ADSs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December 8, 2004), unless the donor or the transferor is domiciled in France at the time of making the gift or at the time of his or her death, or the ADSs were used in, or held for use in, the conduct of a business through a permanent establishment or a fixed base in France.</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Transactions Tax</w:t>
      </w:r>
    </w:p>
    <w:p>
      <w:pPr>
        <w:spacing w:after="0" w:line="119" w:lineRule="exact"/>
        <w:rPr>
          <w:sz w:val="20"/>
          <w:szCs w:val="20"/>
          <w:color w:val="auto"/>
        </w:rPr>
      </w:pPr>
    </w:p>
    <w:p>
      <w:pPr>
        <w:ind w:left="300" w:right="759"/>
        <w:spacing w:after="0" w:line="290" w:lineRule="auto"/>
        <w:rPr>
          <w:sz w:val="20"/>
          <w:szCs w:val="20"/>
          <w:color w:val="auto"/>
        </w:rPr>
      </w:pPr>
      <w:r>
        <w:rPr>
          <w:rFonts w:ascii="Times New Roman" w:cs="Times New Roman" w:eastAsia="Times New Roman" w:hAnsi="Times New Roman"/>
          <w:sz w:val="17"/>
          <w:szCs w:val="17"/>
          <w:color w:val="auto"/>
        </w:rPr>
        <w:t>Pursuant to Article 235 ter ZD of the French Tax Code (</w:t>
      </w:r>
      <w:r>
        <w:rPr>
          <w:rFonts w:ascii="Times New Roman" w:cs="Times New Roman" w:eastAsia="Times New Roman" w:hAnsi="Times New Roman"/>
          <w:sz w:val="17"/>
          <w:szCs w:val="17"/>
          <w:i w:val="1"/>
          <w:iCs w:val="1"/>
          <w:color w:val="auto"/>
        </w:rPr>
        <w:t>Code général des impôts</w:t>
      </w:r>
      <w:r>
        <w:rPr>
          <w:rFonts w:ascii="Times New Roman" w:cs="Times New Roman" w:eastAsia="Times New Roman" w:hAnsi="Times New Roman"/>
          <w:sz w:val="17"/>
          <w:szCs w:val="17"/>
          <w:color w:val="auto"/>
        </w:rPr>
        <w:t>), or the “FTC”, purchases of certain securities issued by a French company, including ADSs or pre-funded warrants, which are listed on a regulated market of the European Union or a foreign regulated market formally acknowledged by the AMF (in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each case within the meaning of the French Monetary and Financial Code, or the “FMFC”) are subject in France to a 0.4% tax on financial transactions, or the “FTT”, provided inter alia that the issuer’s market capitalization exceeds €1.0 billion as of December 1 of the year preceding the taxation year (the rate of the FTT was raised from 0.3% to 0.4% for acquisitions made as of April 1, 2025).</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 list of French relevant companies whose market capitalization exceeds €1.0 billion as of December 1 of the year preceding the taxation year within the meaning of Article 235 ter ZD of the French Tax Code is published annually by the French tax authorities. Pursuant to Regulations BOI-ANNX-000467-20251217 issued on December 17, 2025, as at December 1, 2025, our market capitalization did not exceed €1.0 billion and are therefore not included in such list.</w:t>
      </w:r>
    </w:p>
    <w:p>
      <w:pPr>
        <w:spacing w:after="0" w:line="75"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As a result, the ADSs or pre-funded warrants are not currently within the scope of the FTT. Purchases of our ADSs or pre-funded warrants may however become subject to the FTT if our market capitalization exceeds €1.0 billion.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Duties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the case where the FTT is not applicable, (1) transfers of shares issued by a French company which are listed on a regulated or organized market within the meaning of the FMFC are subject to uncapped registration duties at the rate of 0.1% if the transfer is evidenced by a written statement (</w:t>
      </w:r>
      <w:r>
        <w:rPr>
          <w:rFonts w:ascii="Times New Roman" w:cs="Times New Roman" w:eastAsia="Times New Roman" w:hAnsi="Times New Roman"/>
          <w:sz w:val="18"/>
          <w:szCs w:val="18"/>
          <w:i w:val="1"/>
          <w:iCs w:val="1"/>
          <w:color w:val="auto"/>
        </w:rPr>
        <w:t>acte</w:t>
      </w:r>
      <w:r>
        <w:rPr>
          <w:rFonts w:ascii="Times New Roman" w:cs="Times New Roman" w:eastAsia="Times New Roman" w:hAnsi="Times New Roman"/>
          <w:sz w:val="18"/>
          <w:szCs w:val="18"/>
          <w:color w:val="auto"/>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 (</w:t>
      </w:r>
      <w:r>
        <w:rPr>
          <w:rFonts w:ascii="Times New Roman" w:cs="Times New Roman" w:eastAsia="Times New Roman" w:hAnsi="Times New Roman"/>
          <w:sz w:val="18"/>
          <w:szCs w:val="18"/>
          <w:i w:val="1"/>
          <w:iCs w:val="1"/>
          <w:color w:val="auto"/>
        </w:rPr>
        <w:t>acte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As our ordinary shares are listed on the regulated market of Euronext in Paris, which is an organized market within the meaning of the FMFC, their transfer should be subject to uncapped registration duties at the rate of 0.1% subject to the existence of a written agreement (</w:t>
      </w:r>
      <w:r>
        <w:rPr>
          <w:rFonts w:ascii="Times New Roman" w:cs="Times New Roman" w:eastAsia="Times New Roman" w:hAnsi="Times New Roman"/>
          <w:sz w:val="18"/>
          <w:szCs w:val="18"/>
          <w:i w:val="1"/>
          <w:iCs w:val="1"/>
          <w:color w:val="auto"/>
        </w:rPr>
        <w:t>acte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639"/>
        <w:spacing w:after="0" w:line="312" w:lineRule="auto"/>
        <w:rPr>
          <w:sz w:val="20"/>
          <w:szCs w:val="20"/>
          <w:color w:val="auto"/>
        </w:rPr>
      </w:pPr>
      <w:r>
        <w:rPr>
          <w:rFonts w:ascii="Times New Roman" w:cs="Times New Roman" w:eastAsia="Times New Roman" w:hAnsi="Times New Roman"/>
          <w:sz w:val="17"/>
          <w:szCs w:val="17"/>
          <w:color w:val="auto"/>
        </w:rPr>
        <w:t>Although there is neither case law nor official guidelines published by the French tax authorities on this point, transfers of ADSs and pre-funded warrants should not be subject to the aforementioned 0.1% registration duties.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Wealth Tax</w:t>
      </w:r>
    </w:p>
    <w:p>
      <w:pPr>
        <w:spacing w:after="0" w:line="11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Since January 1, 2018, the French wealth tax (</w:t>
      </w:r>
      <w:r>
        <w:rPr>
          <w:rFonts w:ascii="Times New Roman" w:cs="Times New Roman" w:eastAsia="Times New Roman" w:hAnsi="Times New Roman"/>
          <w:sz w:val="18"/>
          <w:szCs w:val="18"/>
          <w:i w:val="1"/>
          <w:iCs w:val="1"/>
          <w:color w:val="auto"/>
        </w:rPr>
        <w:t>impôt de solidarité sur la fortune</w:t>
      </w:r>
      <w:r>
        <w:rPr>
          <w:rFonts w:ascii="Times New Roman" w:cs="Times New Roman" w:eastAsia="Times New Roman" w:hAnsi="Times New Roman"/>
          <w:sz w:val="18"/>
          <w:szCs w:val="18"/>
          <w:color w:val="auto"/>
        </w:rPr>
        <w:t>) has been repealed and replaced by a real estate wealth tax (</w:t>
      </w:r>
      <w:r>
        <w:rPr>
          <w:rFonts w:ascii="Times New Roman" w:cs="Times New Roman" w:eastAsia="Times New Roman" w:hAnsi="Times New Roman"/>
          <w:sz w:val="18"/>
          <w:szCs w:val="18"/>
          <w:i w:val="1"/>
          <w:iCs w:val="1"/>
          <w:color w:val="auto"/>
        </w:rPr>
        <w:t>impôt sur la fortune immobilière</w:t>
      </w:r>
      <w:r>
        <w:rPr>
          <w:rFonts w:ascii="Times New Roman" w:cs="Times New Roman" w:eastAsia="Times New Roman" w:hAnsi="Times New Roman"/>
          <w:sz w:val="18"/>
          <w:szCs w:val="18"/>
          <w:color w:val="auto"/>
        </w:rPr>
        <w:t>), which applies only to individuals owning French real estate assets or rights, directly or indirectly through one or more legal entities and whose net taxable assets amount to at least €1,300,000.</w:t>
      </w:r>
    </w:p>
    <w:p>
      <w:pPr>
        <w:spacing w:after="0" w:line="7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French real estate wealth tax may only apply to U.S. Holders to the extent the Company holds real estate assets that are not allocated to its operational activity, for the fraction of the value of the financial rights representing such assets, and should not generally apply to securities held by an eligible U.S. Holder who is a U.S. resident, as defined pursuant to the provisions of the Treaty, provided that such U.S. Holder does not own directly or indirectly more than 25% of the issuer’s financial rights.</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Dividends paid by a French corporation to non-residents of France are generally subject to French withholding tax at a rate of 25% for corporate bodies or other legal entities or 12.8% for individuals, provided that they are the beneficial owners of the payment. Dividends paid by a French corporation in a non-cooperative State or territory, as set out in the list referred to in Article 238-0 A of the FTC, other than those mentioned in 2" of 2 bis of the same Article 238-0 A of the FTC, will generally be subject to French withholding tax at a rate of 75%. This list was last updated on April 15, 2026, and currently includes American Samoa, Anguilla, Antigua and Barbuda, Guam, Palaos, Panama, Russia, Samoa, Turks and Caicos Islands, the United States Virgin Islands, Vanuatu and Vietnam. States referred to in Article 238-0 A, 2 bis-2" of the FTC, and thus outside of the scope of Article 244 bis B of the FTC, are currently American Samoa, Guam, Palaos, Panama, Russia, the United States Virgin Islands and Vietnam.</w:t>
      </w:r>
    </w:p>
    <w:p>
      <w:pPr>
        <w:spacing w:after="0" w:line="80" w:lineRule="exact"/>
        <w:rPr>
          <w:sz w:val="20"/>
          <w:szCs w:val="20"/>
          <w:color w:val="auto"/>
        </w:rPr>
      </w:pPr>
    </w:p>
    <w:p>
      <w:pPr>
        <w:ind w:left="300" w:right="719"/>
        <w:spacing w:after="0" w:line="276" w:lineRule="auto"/>
        <w:rPr>
          <w:sz w:val="20"/>
          <w:szCs w:val="20"/>
          <w:color w:val="auto"/>
        </w:rPr>
      </w:pPr>
      <w:r>
        <w:rPr>
          <w:rFonts w:ascii="Times New Roman" w:cs="Times New Roman" w:eastAsia="Times New Roman" w:hAnsi="Times New Roman"/>
          <w:sz w:val="17"/>
          <w:szCs w:val="17"/>
          <w:color w:val="auto"/>
        </w:rPr>
        <w:t>However, eligible U.S. Holders, other than individuals subject to the French withholding tax at a rate of 12.8%, entitled to Treaty benefits under the “Limitation on Benefits” provision contained in the Treaty who are</w:t>
      </w:r>
    </w:p>
    <w:p>
      <w:pPr>
        <w:spacing w:after="0" w:line="1" w:lineRule="exact"/>
        <w:rPr>
          <w:sz w:val="20"/>
          <w:szCs w:val="20"/>
          <w:color w:val="auto"/>
        </w:rPr>
      </w:pPr>
    </w:p>
    <w:p>
      <w:pPr>
        <w:ind w:left="300" w:right="1179"/>
        <w:spacing w:after="0" w:line="290" w:lineRule="auto"/>
        <w:rPr>
          <w:sz w:val="20"/>
          <w:szCs w:val="20"/>
          <w:color w:val="auto"/>
        </w:rPr>
      </w:pPr>
      <w:r>
        <w:rPr>
          <w:rFonts w:ascii="Times New Roman" w:cs="Times New Roman" w:eastAsia="Times New Roman" w:hAnsi="Times New Roman"/>
          <w:sz w:val="17"/>
          <w:szCs w:val="17"/>
          <w:color w:val="auto"/>
        </w:rPr>
        <w:t>U.S. residents, as defined pursuant to the provisions of the Treaty, will not be subject to this 25% or 75% withholding tax rate, but may be subject to the withholding tax at a reduced rate (as described below).</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Treaty, the rate of French withholding tax on dividends paid to an eligible U.S. Holder who is a</w:t>
      </w:r>
    </w:p>
    <w:p>
      <w:pPr>
        <w:spacing w:after="0" w:line="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U.S. resident as defined pursuant to the provisions of the Treaty and whose ownership of the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7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w:t>
      </w:r>
    </w:p>
    <w:p>
      <w:pPr>
        <w:spacing w:after="0" w:line="75"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In the event that dividends are paid by us, dividends paid to an eligible U.S. Holder may immediately be subject to the reduced rates of 5% or 15% provided that:</w:t>
      </w:r>
    </w:p>
    <w:p>
      <w:pPr>
        <w:spacing w:after="0" w:line="54" w:lineRule="exact"/>
        <w:rPr>
          <w:sz w:val="20"/>
          <w:szCs w:val="20"/>
          <w:color w:val="auto"/>
        </w:rPr>
      </w:pPr>
    </w:p>
    <w:p>
      <w:pPr>
        <w:ind w:left="1000" w:right="3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establishes before the date of payment that it is a U.S. resident under the Treaty by completing and providing the depositary with treaty forms (Forms 5000 and 5001);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other financial institution managing the U.S. Holder’s securities account in the</w:t>
      </w:r>
    </w:p>
    <w:p>
      <w:pPr>
        <w:spacing w:after="0" w:line="27" w:lineRule="exact"/>
        <w:rPr>
          <w:rFonts w:ascii="Times New Roman" w:cs="Times New Roman" w:eastAsia="Times New Roman" w:hAnsi="Times New Roman"/>
          <w:sz w:val="18"/>
          <w:szCs w:val="18"/>
          <w:color w:val="auto"/>
        </w:rPr>
      </w:pPr>
    </w:p>
    <w:p>
      <w:pPr>
        <w:ind w:left="100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provides the French paying agent, which will complete Forms 5000 and 5001 (as described above), with a document listing certain information about the U.S. Holder and its ADSs and a certificate whereby the financial institution managing the U.S. Holder’s securities account in the U.S. takes full responsibility for the accuracy of the information provided in the document.</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Otherwise, dividends paid to a U.S. Holder that is a legal person or another legal entity and has not filed Forms 5000 and 5001 before the dividend payment date will be subject to French withholding tax at the rate of 25%, or 75% for any U.S. Holder if paid in a non-cooperative State or territory (as set out in the list referred to in Article 238-0 A of the FTC other than those mentioned in 2" of 2 bis of the same Article 238-0 A of the FTC) (unless the Company proves that neither the purpose nor the effect of paying the dividend in that State or territory is that of allowing, with the intent of tax evasion or avoidance, the U.S. Holder to be located in such a State or territory), and then reduced at a later date to 5% or 15%, provided that such holder duly completes and provides the French tax authorities with Forms 5000 and 5001 before December 31 of the second calendar year following the year during which the dividend is paid.</w:t>
      </w:r>
    </w:p>
    <w:p>
      <w:pPr>
        <w:spacing w:after="0" w:line="80"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Forms 5000 and 5001, together with appropriate instructions, will be provided by the depositary to all U.S. Holders registered with the depositary. The depositary will arrange for the filing with the French tax authorities of all such forms properly completed and executed by U.S. Holders of ADSs and returned to the depositary in sufficient time so that they may be filed with the French tax authorities before the distribution in order to obtain immediately a reduced withholding tax rate. Otherwise, the depositary must withhold tax at the full rate of 25% or 75%, as applicable. In that case, the U.S. Holders may claim a refund from the French tax authorities of the excess withholding tax. Since the withholding tax rate applicable under French domestic law to U.S. Holders who are individuals does not exceed the cap provided in the Treaty (i.e., 15%), the 12.8% rate shall apply, without any reduction provided under the Treaty.</w:t>
      </w:r>
    </w:p>
    <w:p>
      <w:pPr>
        <w:spacing w:after="0" w:line="80" w:lineRule="exact"/>
        <w:rPr>
          <w:sz w:val="20"/>
          <w:szCs w:val="20"/>
          <w:color w:val="auto"/>
        </w:rPr>
      </w:pPr>
    </w:p>
    <w:p>
      <w:pPr>
        <w:ind w:left="300" w:right="559"/>
        <w:spacing w:after="0" w:line="312" w:lineRule="auto"/>
        <w:rPr>
          <w:sz w:val="20"/>
          <w:szCs w:val="20"/>
          <w:color w:val="auto"/>
        </w:rPr>
      </w:pPr>
      <w:r>
        <w:rPr>
          <w:rFonts w:ascii="Times New Roman" w:cs="Times New Roman" w:eastAsia="Times New Roman" w:hAnsi="Times New Roman"/>
          <w:sz w:val="17"/>
          <w:szCs w:val="17"/>
          <w:color w:val="auto"/>
        </w:rPr>
        <w:t>Subject to certain specific conditions, a corporate U.S. Holder which is in a tax loss position for the fiscal year during which the dividend is received may be entitled to a deferral regime and to obtain a withholding tax refund.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on Sale or Other Disposition</w:t>
      </w:r>
    </w:p>
    <w:p>
      <w:pPr>
        <w:spacing w:after="0" w:line="121" w:lineRule="exact"/>
        <w:rPr>
          <w:sz w:val="20"/>
          <w:szCs w:val="20"/>
          <w:color w:val="auto"/>
        </w:rPr>
      </w:pPr>
    </w:p>
    <w:p>
      <w:pPr>
        <w:jc w:val="both"/>
        <w:ind w:left="300" w:right="399"/>
        <w:spacing w:after="0" w:line="261" w:lineRule="auto"/>
        <w:rPr>
          <w:sz w:val="20"/>
          <w:szCs w:val="20"/>
          <w:color w:val="auto"/>
        </w:rPr>
      </w:pPr>
      <w:r>
        <w:rPr>
          <w:rFonts w:ascii="Times New Roman" w:cs="Times New Roman" w:eastAsia="Times New Roman" w:hAnsi="Times New Roman"/>
          <w:sz w:val="18"/>
          <w:szCs w:val="18"/>
          <w:color w:val="auto"/>
        </w:rPr>
        <w:t>As a matter of principle, under French tax law, a U.S. Holder should not be subject to any French tax on any capital gain from the sale, exchange, repurchase or redemption by us of ADSs or pre-funded warrants, provided, regarding ADSs that such U.S. Holder is not a French tax resident for French tax purposes and has not held more than 25% of our dividend rights, known as “</w:t>
      </w:r>
      <w:r>
        <w:rPr>
          <w:rFonts w:ascii="Times New Roman" w:cs="Times New Roman" w:eastAsia="Times New Roman" w:hAnsi="Times New Roman"/>
          <w:sz w:val="18"/>
          <w:szCs w:val="18"/>
          <w:i w:val="1"/>
          <w:iCs w:val="1"/>
          <w:color w:val="auto"/>
        </w:rPr>
        <w:t>droits aux bénéfices sociaux</w:t>
      </w:r>
      <w:r>
        <w:rPr>
          <w:rFonts w:ascii="Times New Roman" w:cs="Times New Roman" w:eastAsia="Times New Roman" w:hAnsi="Times New Roman"/>
          <w:sz w:val="18"/>
          <w:szCs w:val="18"/>
          <w:color w:val="auto"/>
        </w:rPr>
        <w:t>” at any time during the preceding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five years, either directly or indirectly, and, as relates to individuals, alone or with relatives (as an exception, a U.S. Holder resident, established or incorporated in a non-cooperative State or territory as set out in the list referred to in Article 238-0 A of the FTC other than those mentioned in 2" of 2 bis of the same Article 238-0 A of the FTC should be subject to a 75% withholding tax in France on any such capital gain, regardless of the fraction of the dividend rights it holds).</w:t>
      </w:r>
    </w:p>
    <w:p>
      <w:pPr>
        <w:spacing w:after="0" w:line="75"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Under the Treaty, a U.S. Holder who is a U.S. resident for purposes of the Treaty and entitled to Treaty benefits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of ADSs or pre-funded warrants unless such ADSs or pre-funded warrants form part of the business property of a permanent establishment or fixed base that the U.S. Holder has in France. U.S. Holders who own ADSs or pre-funded warrants through U.S. partnerships that are not resident for Treaty purposes are advised to consult their own tax advisors regarding their French tax treatment and their eligibility for Treaty benefits in light of their own particular circumstances. A U.S. Holder that is not a U.S. resident for Treaty purposes or is not entitled to Treaty benefit (and in both cases is not resident, established or incorporated in a non-cooperative State or territory as set out in the list referred to in Article 238-0 A of the FTC other than those mentioned in 2" of 2 bis of the same Article 238-0 A of the FTC) and has held more than 25% of our dividend rights, known as “</w:t>
      </w:r>
      <w:r>
        <w:rPr>
          <w:rFonts w:ascii="Times New Roman" w:cs="Times New Roman" w:eastAsia="Times New Roman" w:hAnsi="Times New Roman"/>
          <w:sz w:val="18"/>
          <w:szCs w:val="18"/>
          <w:i w:val="1"/>
          <w:iCs w:val="1"/>
          <w:color w:val="auto"/>
        </w:rPr>
        <w:t>droits aux bénéfices sociaux</w:t>
      </w:r>
      <w:r>
        <w:rPr>
          <w:rFonts w:ascii="Times New Roman" w:cs="Times New Roman" w:eastAsia="Times New Roman" w:hAnsi="Times New Roman"/>
          <w:sz w:val="18"/>
          <w:szCs w:val="18"/>
          <w:color w:val="auto"/>
        </w:rPr>
        <w:t>” at any time during the preceding five years, either directly or indirectly, and, as relates to individuals, alone or with relatives, will be subject to a levy in France at the rate of the standard corporate income tax (currently 25%), if such U.S. Holder is a legal person, or 12.8%, if such U.S. Holder is an individual.</w:t>
      </w:r>
    </w:p>
    <w:p>
      <w:pPr>
        <w:spacing w:after="0" w:line="8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For a non-French resident entity that holds more than 25% of our dividend rights and may be subject to French tax on capital gains, the Amended Finance Bill for 2021 has introduced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“EU/EEA State”) or (ii) a State, other than a non-cooperative State or Territory that has concluded a tax treaty with France that includes an administrative assistance clause regarding the exchange of information aimed at combating tax fraud and tax evasion (a “Treaty State”), provided that the transferor is not effectively involved in the management or control of the entity whose shares are disposed of or redeemed. In addition, the Amended Finance Bill provides that specific collective investment funds established in EU/EEA States or Treaty States are excluded from the scope of the nonresident capital gain tax mentioned above under certain conditions. The recent amendments described above apply to disposals and redemptions of shares, and distributions, subject to Section 244 bis B of the FTC, realized as from June 30, 2021.</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rules apply to U.S. Holders who are residents of more than one country.</w:t>
      </w:r>
    </w:p>
    <w:p>
      <w:pPr>
        <w:spacing w:after="0" w:line="113"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discussion above is a summary of the material French tax consequences of an investment in our ADSs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ADSs in light of the investor’s own circumstances.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Except as described in this prospectus supplement or otherwise described in our Annual Report and in our reports on Form 6-K incorporated by reference into this prospectus supplement, no reportable material changes have occurred since December 31, 2025.</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securities described in this prospectus supplement. A related registration statement on Form F-6 has been filed with the SEC to register the ADSs. This prospectus supplement and the accompanying prospectus, which forms a part of the registration statement, do not contain all of the information included in the registration statement.</w:t>
      </w:r>
    </w:p>
    <w:p>
      <w:pPr>
        <w:spacing w:after="0" w:line="72"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SEC maintains a website (http://www.sec.gov) that contains reports and other information regarding registrants, such as Nanobiotix, that file electronically with the SEC.</w:t>
      </w:r>
    </w:p>
    <w:p>
      <w:pPr>
        <w:spacing w:after="0" w:line="54" w:lineRule="exact"/>
        <w:rPr>
          <w:sz w:val="20"/>
          <w:szCs w:val="20"/>
          <w:color w:val="auto"/>
        </w:rPr>
      </w:pPr>
    </w:p>
    <w:p>
      <w:pPr>
        <w:ind w:left="300" w:right="439"/>
        <w:spacing w:after="0" w:line="272" w:lineRule="auto"/>
        <w:rPr>
          <w:sz w:val="20"/>
          <w:szCs w:val="20"/>
          <w:color w:val="auto"/>
        </w:rPr>
      </w:pPr>
      <w:r>
        <w:rPr>
          <w:rFonts w:ascii="Times New Roman" w:cs="Times New Roman" w:eastAsia="Times New Roman" w:hAnsi="Times New Roman"/>
          <w:sz w:val="17"/>
          <w:szCs w:val="17"/>
          <w:color w:val="auto"/>
        </w:rPr>
        <w:t>We are subject to the information reporting requirements of the Exchange Act applicable to foreign private issuers and under those requirements file reports with the SEC. Accordingly, we are required to file or furnish reports and other information with the SEC, including Annual Reports on Form 20-F and Reports on Form 6-K. As a foreign private issuer, we are exempt from the rules under the Exchange Act related to the furnishing and content of proxy statements, and our executive board members, supervisory board members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spacing w:after="0" w:line="64"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www.nanobiotix.com. Information contained on, or that can be accessed through, our website does not constitute a part of this prospectus. We have included our website address in this prospectus solely as an inactive textual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have filed with the SEC. This means that we can disclose important information by referring you to another document filed separately with the SEC. The information incorporated by reference is considered to be a part of this prospectus supplement, and information that we file later with the SEC will also be deemed to be incorporated by reference into this prospectus supplement and to be a part hereof from the date of filing of such documents and will automatically update and supersede previously filed information, including information contained in this document.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incorporate by reference into this prospectus supplement the following documents that we have filed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w:t>
      </w:r>
    </w:p>
    <w:p>
      <w:pPr>
        <w:spacing w:after="0" w:line="99" w:lineRule="exact"/>
        <w:rPr>
          <w:sz w:val="20"/>
          <w:szCs w:val="20"/>
          <w:color w:val="auto"/>
        </w:rPr>
      </w:pPr>
    </w:p>
    <w:p>
      <w:pPr>
        <w:ind w:left="1000" w:right="739" w:hanging="348"/>
        <w:spacing w:after="0" w:line="282" w:lineRule="auto"/>
        <w:tabs>
          <w:tab w:leader="none" w:pos="1000" w:val="left"/>
        </w:tabs>
        <w:numPr>
          <w:ilvl w:val="0"/>
          <w:numId w:val="2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our Annual Report on Form 20-F for the fiscal year ended December 31, 2025, filed with the SEC on </w:t>
      </w:r>
      <w:hyperlink r:id="rId74">
        <w:r>
          <w:rPr>
            <w:rFonts w:ascii="Times New Roman" w:cs="Times New Roman" w:eastAsia="Times New Roman" w:hAnsi="Times New Roman"/>
            <w:sz w:val="18"/>
            <w:szCs w:val="18"/>
            <w:u w:val="single" w:color="auto"/>
            <w:color w:val="0000EE"/>
          </w:rPr>
          <w:t>March 31, 2026;</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000" w:right="45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furnished to the SEC and that are identified in such form as being incorporated by reference, since the end of the fiscal year ended December 31, 2025 covered by our Annual Report on Form 20-F referred to above; and</w:t>
      </w:r>
    </w:p>
    <w:p>
      <w:pPr>
        <w:spacing w:after="0" w:line="67" w:lineRule="exact"/>
        <w:rPr>
          <w:rFonts w:ascii="Times New Roman" w:cs="Times New Roman" w:eastAsia="Times New Roman" w:hAnsi="Times New Roman"/>
          <w:sz w:val="18"/>
          <w:szCs w:val="18"/>
          <w:color w:val="auto"/>
        </w:rPr>
      </w:pPr>
    </w:p>
    <w:p>
      <w:pPr>
        <w:ind w:left="1000" w:right="59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ADSs representing our ordinary shares contained in our Registration Statement on Form 8-A filed with the SEC on </w:t>
      </w:r>
      <w:hyperlink r:id="rId75">
        <w:r>
          <w:rPr>
            <w:rFonts w:ascii="Times New Roman" w:cs="Times New Roman" w:eastAsia="Times New Roman" w:hAnsi="Times New Roman"/>
            <w:sz w:val="18"/>
            <w:szCs w:val="18"/>
            <w:u w:val="single" w:color="auto"/>
            <w:color w:val="0000EE"/>
          </w:rPr>
          <w:t>December 8, 2020</w:t>
        </w:r>
      </w:hyperlink>
      <w:r>
        <w:rPr>
          <w:rFonts w:ascii="Times New Roman" w:cs="Times New Roman" w:eastAsia="Times New Roman" w:hAnsi="Times New Roman"/>
          <w:sz w:val="18"/>
          <w:szCs w:val="18"/>
          <w:color w:val="auto"/>
        </w:rPr>
        <w:t xml:space="preserve">, including any amendments or reports filed for the purpose of updating such description, including </w:t>
      </w:r>
      <w:hyperlink r:id="rId76">
        <w:r>
          <w:rPr>
            <w:rFonts w:ascii="Times New Roman" w:cs="Times New Roman" w:eastAsia="Times New Roman" w:hAnsi="Times New Roman"/>
            <w:sz w:val="18"/>
            <w:szCs w:val="18"/>
            <w:u w:val="single" w:color="auto"/>
            <w:color w:val="0000EE"/>
          </w:rPr>
          <w:t>Exhibit 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20-F for the fiscal year ended December 31, 2022, filed with the SEC on </w:t>
      </w:r>
      <w:hyperlink r:id="rId77">
        <w:r>
          <w:rPr>
            <w:rFonts w:ascii="Times New Roman" w:cs="Times New Roman" w:eastAsia="Times New Roman" w:hAnsi="Times New Roman"/>
            <w:sz w:val="18"/>
            <w:szCs w:val="18"/>
            <w:u w:val="single" w:color="auto"/>
            <w:color w:val="0000EE"/>
          </w:rPr>
          <w:t>April 24, 2023</w:t>
        </w:r>
      </w:hyperlink>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those of our Reports on Form 6-K that we furnish to the SEC that we specifically identify in such form as being incorporated by reference into this prospectus supplement after the date hereof and prior to the completion of an offering of securities under this prospectus supplement.</w:t>
      </w:r>
    </w:p>
    <w:p>
      <w:pPr>
        <w:spacing w:after="0" w:line="72" w:lineRule="exact"/>
        <w:rPr>
          <w:rFonts w:ascii="Times New Roman" w:cs="Times New Roman" w:eastAsia="Times New Roman" w:hAnsi="Times New Roman"/>
          <w:sz w:val="18"/>
          <w:szCs w:val="18"/>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or any beneficial owner, on written or oral request, a copy of any or all of the documents incorporated by reference in this prospectus supplement and the accompanying prospectus, including exhibits to these documents. You should direct any requests for documents to:</w:t>
      </w:r>
    </w:p>
    <w:p>
      <w:pPr>
        <w:spacing w:after="0" w:line="122" w:lineRule="exact"/>
        <w:rPr>
          <w:rFonts w:ascii="Times New Roman" w:cs="Times New Roman" w:eastAsia="Times New Roman" w:hAnsi="Times New Roman"/>
          <w:sz w:val="18"/>
          <w:szCs w:val="18"/>
          <w:color w:val="auto"/>
        </w:rPr>
      </w:pPr>
    </w:p>
    <w:p>
      <w:pPr>
        <w:ind w:left="3620"/>
        <w:spacing w:after="0"/>
        <w:rPr>
          <w:sz w:val="20"/>
          <w:szCs w:val="20"/>
          <w:color w:val="auto"/>
        </w:rPr>
      </w:pPr>
      <w:r>
        <w:rPr>
          <w:rFonts w:ascii="Times New Roman" w:cs="Times New Roman" w:eastAsia="Times New Roman" w:hAnsi="Times New Roman"/>
          <w:sz w:val="18"/>
          <w:szCs w:val="18"/>
          <w:color w:val="auto"/>
        </w:rPr>
        <w:t>Nanobiotix Corporation</w:t>
      </w:r>
    </w:p>
    <w:p>
      <w:pPr>
        <w:spacing w:after="0" w:line="27" w:lineRule="exact"/>
        <w:rPr>
          <w:rFonts w:ascii="Times New Roman" w:cs="Times New Roman" w:eastAsia="Times New Roman" w:hAnsi="Times New Roman"/>
          <w:sz w:val="18"/>
          <w:szCs w:val="18"/>
          <w:color w:val="auto"/>
        </w:rPr>
      </w:pPr>
    </w:p>
    <w:p>
      <w:pPr>
        <w:ind w:left="3900"/>
        <w:spacing w:after="0"/>
        <w:rPr>
          <w:sz w:val="20"/>
          <w:szCs w:val="20"/>
          <w:color w:val="auto"/>
        </w:rPr>
      </w:pPr>
      <w:r>
        <w:rPr>
          <w:rFonts w:ascii="Times New Roman" w:cs="Times New Roman" w:eastAsia="Times New Roman" w:hAnsi="Times New Roman"/>
          <w:sz w:val="18"/>
          <w:szCs w:val="18"/>
          <w:color w:val="auto"/>
        </w:rPr>
        <w:t>245 Main Street</w:t>
      </w:r>
    </w:p>
    <w:p>
      <w:pPr>
        <w:spacing w:after="0" w:line="9" w:lineRule="exact"/>
        <w:rPr>
          <w:rFonts w:ascii="Times New Roman" w:cs="Times New Roman" w:eastAsia="Times New Roman" w:hAnsi="Times New Roman"/>
          <w:sz w:val="18"/>
          <w:szCs w:val="18"/>
          <w:color w:val="auto"/>
        </w:rPr>
      </w:pPr>
    </w:p>
    <w:p>
      <w:pPr>
        <w:ind w:left="326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rFonts w:ascii="Times New Roman" w:cs="Times New Roman" w:eastAsia="Times New Roman" w:hAnsi="Times New Roman"/>
          <w:sz w:val="18"/>
          <w:szCs w:val="18"/>
          <w:color w:val="auto"/>
        </w:rPr>
      </w:pPr>
    </w:p>
    <w:p>
      <w:pPr>
        <w:ind w:left="3780"/>
        <w:spacing w:after="0"/>
        <w:rPr>
          <w:sz w:val="20"/>
          <w:szCs w:val="20"/>
          <w:color w:val="auto"/>
        </w:rPr>
      </w:pPr>
      <w:r>
        <w:rPr>
          <w:rFonts w:ascii="Times New Roman" w:cs="Times New Roman" w:eastAsia="Times New Roman" w:hAnsi="Times New Roman"/>
          <w:sz w:val="18"/>
          <w:szCs w:val="18"/>
          <w:color w:val="auto"/>
        </w:rPr>
        <w:t>Attn: Laurent Levy</w:t>
      </w:r>
    </w:p>
    <w:p>
      <w:pPr>
        <w:spacing w:after="0" w:line="9" w:lineRule="exact"/>
        <w:rPr>
          <w:rFonts w:ascii="Times New Roman" w:cs="Times New Roman" w:eastAsia="Times New Roman" w:hAnsi="Times New Roman"/>
          <w:sz w:val="18"/>
          <w:szCs w:val="18"/>
          <w:color w:val="auto"/>
        </w:rPr>
      </w:pPr>
    </w:p>
    <w:p>
      <w:pPr>
        <w:ind w:left="3720"/>
        <w:spacing w:after="0"/>
        <w:rPr>
          <w:sz w:val="20"/>
          <w:szCs w:val="20"/>
          <w:color w:val="auto"/>
        </w:rPr>
      </w:pPr>
      <w:r>
        <w:rPr>
          <w:rFonts w:ascii="Times New Roman" w:cs="Times New Roman" w:eastAsia="Times New Roman" w:hAnsi="Times New Roman"/>
          <w:sz w:val="18"/>
          <w:szCs w:val="18"/>
          <w:color w:val="auto"/>
        </w:rPr>
        <w:t>Tel: +1 617 712 1568</w:t>
      </w:r>
    </w:p>
    <w:p>
      <w:pPr>
        <w:spacing w:after="0" w:line="99" w:lineRule="exact"/>
        <w:rPr>
          <w:rFonts w:ascii="Times New Roman" w:cs="Times New Roman" w:eastAsia="Times New Roman" w:hAnsi="Times New Roman"/>
          <w:sz w:val="18"/>
          <w:szCs w:val="18"/>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You also may access these filings on our website at www.nanobiotix.com. We do not incorporate the information on our website into this prospectus supplement and you should not consider any information on, or that can be accessed through, our website as part of this prospectus supplement (other than those filings with the SEC that we specifically incorporate by reference into this prospectus supplement).</w:t>
      </w:r>
    </w:p>
    <w:p>
      <w:pPr>
        <w:spacing w:after="0" w:line="72" w:lineRule="exact"/>
        <w:rPr>
          <w:rFonts w:ascii="Times New Roman" w:cs="Times New Roman" w:eastAsia="Times New Roman" w:hAnsi="Times New Roman"/>
          <w:sz w:val="18"/>
          <w:szCs w:val="18"/>
          <w:color w:val="auto"/>
        </w:rPr>
      </w:pPr>
    </w:p>
    <w:p>
      <w:pPr>
        <w:ind w:left="300" w:right="519"/>
        <w:spacing w:after="0" w:line="289"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50" w:lineRule="exact"/>
        <w:rPr>
          <w:rFonts w:ascii="Times New Roman" w:cs="Times New Roman" w:eastAsia="Times New Roman" w:hAnsi="Times New Roman"/>
          <w:sz w:val="18"/>
          <w:szCs w:val="18"/>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We have not authorized any other person to provide you with different information. If anyone provides you with different or inconsistent information, you should not rely on it. You should assume that the information appearing in this prospectus supplement is accurate only as of the date on the front cover of this prospectus supplement, or such earlier date, that is indicated in this prospectus supplement. Our business, financial condition, results of operations and prospects may have changed since such date.</w:t>
      </w:r>
    </w:p>
    <w:p>
      <w:pPr>
        <w:spacing w:after="0" w:line="18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Jones Day, New York, New York, is representing us in connection with the offering. Jones Day, Paris, France, will pass upon the validity of the ordinary shares, including those in the form of ADSs, and the pre-funded warrants offered in the offering and other legal matters concerning the offering relating to French law, including matters of French income tax law. Cooley LLP, New York, New York, is representing the underwriters in connection with the offering with respect to U.S. federal law, and Gide Loyrette Nouel A.A.R.P.I. is representing the underwriters in connection with the offering with respect to French law.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Nanobiotix S.A. as of December 31, 2025 and 2024 and for the years then ended and management's assessment of the effectiveness of internal control over financial reporting as of December 31, 2025 have been incorporated by reference herein in reliance upon the reports of KPMG S.A., independent registered public accounting firm, incorporated by reference herein, and upon the authority of said firm as experts in accounting and auditing.</w:t>
      </w:r>
    </w:p>
    <w:p>
      <w:pPr>
        <w:spacing w:after="0" w:line="75"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offices of KPMG S.A. are located at Tour EQHO, 2 Avenue Gambetta, CS 60055, 92066 Paris La Défense Cedex, France.</w:t>
      </w:r>
    </w:p>
    <w:p>
      <w:pPr>
        <w:spacing w:after="0" w:line="5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Nanobiotix S.A. for the year ended December 31, 2023 appearing in Nanobiotix S.A.’s Annual Report (Form 20-F) for the year ended December 31, 2025 have been audited by Ernst &amp; Young et Autres,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75" w:lineRule="exact"/>
        <w:rPr>
          <w:sz w:val="20"/>
          <w:szCs w:val="20"/>
          <w:color w:val="auto"/>
        </w:rPr>
      </w:pPr>
    </w:p>
    <w:p>
      <w:pPr>
        <w:ind w:left="300" w:right="1179"/>
        <w:spacing w:after="0" w:line="282" w:lineRule="auto"/>
        <w:rPr>
          <w:sz w:val="20"/>
          <w:szCs w:val="20"/>
          <w:color w:val="auto"/>
        </w:rPr>
      </w:pPr>
      <w:r>
        <w:rPr>
          <w:rFonts w:ascii="Times New Roman" w:cs="Times New Roman" w:eastAsia="Times New Roman" w:hAnsi="Times New Roman"/>
          <w:sz w:val="18"/>
          <w:szCs w:val="18"/>
          <w:color w:val="auto"/>
        </w:rPr>
        <w:t>The offices of Ernst &amp; Young et Autres are located at Tour First, 1 place des Saisons, 92400 Courbevoie, 92037 Paris - La Défense Cedex, France.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182880</wp:posOffset>
            </wp:positionV>
            <wp:extent cx="2597150" cy="625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5971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2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Ordinary Shares (including Ordinary Shares in the Form of American Depositary Shares)</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5,623,816 Ordinary Shares (Including Ordinary Shares in the Form of American Depositary Shares)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Offered by the Selling Shareholder</w:t>
      </w:r>
    </w:p>
    <w:p>
      <w:pPr>
        <w:spacing w:after="0" w:line="60" w:lineRule="exact"/>
        <w:rPr>
          <w:sz w:val="20"/>
          <w:szCs w:val="20"/>
          <w:color w:val="auto"/>
        </w:rPr>
      </w:pPr>
    </w:p>
    <w:p>
      <w:pPr>
        <w:ind w:left="400" w:right="419"/>
        <w:spacing w:after="0" w:line="265" w:lineRule="auto"/>
        <w:rPr>
          <w:sz w:val="20"/>
          <w:szCs w:val="20"/>
          <w:color w:val="auto"/>
        </w:rPr>
      </w:pPr>
      <w:r>
        <w:rPr>
          <w:rFonts w:ascii="Times New Roman" w:cs="Times New Roman" w:eastAsia="Times New Roman" w:hAnsi="Times New Roman"/>
          <w:sz w:val="18"/>
          <w:szCs w:val="18"/>
          <w:color w:val="auto"/>
        </w:rPr>
        <w:t>We may offer from time to time up to $200,000,000 of the securities identified above, individually or in any combination, in each case, in one or more offerings at prices and on terms that will be determined at the time of the offering.</w:t>
      </w:r>
    </w:p>
    <w:p>
      <w:pPr>
        <w:spacing w:after="0" w:line="43" w:lineRule="exact"/>
        <w:rPr>
          <w:sz w:val="20"/>
          <w:szCs w:val="20"/>
          <w:color w:val="auto"/>
        </w:rPr>
      </w:pPr>
    </w:p>
    <w:p>
      <w:pPr>
        <w:ind w:left="400" w:right="459"/>
        <w:spacing w:after="0" w:line="256" w:lineRule="auto"/>
        <w:rPr>
          <w:sz w:val="20"/>
          <w:szCs w:val="20"/>
          <w:color w:val="auto"/>
        </w:rPr>
      </w:pPr>
      <w:r>
        <w:rPr>
          <w:rFonts w:ascii="Times New Roman" w:cs="Times New Roman" w:eastAsia="Times New Roman" w:hAnsi="Times New Roman"/>
          <w:sz w:val="18"/>
          <w:szCs w:val="18"/>
          <w:color w:val="auto"/>
        </w:rPr>
        <w:t>In addition, the selling shareholder identified in this prospectus may offer and sell up to 5,623,816 ordinary shares, €0.03 nominal value per share (“Ordinary Shares”), including in the form of American Depositary Shares (“ADS”), in one or more offerings at prices and on terms that will be determined at the time of the offering. We will not receive any proceeds from the sale of Ordinary Shares by the selling shareholder. We are registering these Ordinary Shares on behalf of the selling shareholder to satisfy certain contractual registration rights that we have granted to the selling shareholder.</w:t>
      </w:r>
    </w:p>
    <w:p>
      <w:pPr>
        <w:spacing w:after="0" w:line="39" w:lineRule="exact"/>
        <w:rPr>
          <w:sz w:val="20"/>
          <w:szCs w:val="20"/>
          <w:color w:val="auto"/>
        </w:rPr>
      </w:pPr>
    </w:p>
    <w:p>
      <w:pPr>
        <w:ind w:left="400" w:right="439"/>
        <w:spacing w:after="0" w:line="265" w:lineRule="auto"/>
        <w:rPr>
          <w:sz w:val="20"/>
          <w:szCs w:val="20"/>
          <w:color w:val="auto"/>
        </w:rPr>
      </w:pPr>
      <w:r>
        <w:rPr>
          <w:rFonts w:ascii="Times New Roman" w:cs="Times New Roman" w:eastAsia="Times New Roman" w:hAnsi="Times New Roman"/>
          <w:sz w:val="18"/>
          <w:szCs w:val="18"/>
          <w:color w:val="auto"/>
        </w:rPr>
        <w:t>It is important to note that our registration of Ordinary Shares of the selling shareholder covered by this prospectus does not mean that the selling shareholder will necessarily offer or sell any of the Ordinary Shares registered for the selling shareholder.</w:t>
      </w:r>
    </w:p>
    <w:p>
      <w:pPr>
        <w:spacing w:after="0" w:line="30" w:lineRule="exact"/>
        <w:rPr>
          <w:sz w:val="20"/>
          <w:szCs w:val="20"/>
          <w:color w:val="auto"/>
        </w:rPr>
      </w:pPr>
    </w:p>
    <w:p>
      <w:pPr>
        <w:ind w:left="400" w:right="519"/>
        <w:spacing w:after="0" w:line="254" w:lineRule="auto"/>
        <w:rPr>
          <w:sz w:val="20"/>
          <w:szCs w:val="20"/>
          <w:color w:val="auto"/>
        </w:rPr>
      </w:pPr>
      <w:r>
        <w:rPr>
          <w:rFonts w:ascii="Times New Roman" w:cs="Times New Roman" w:eastAsia="Times New Roman" w:hAnsi="Times New Roman"/>
          <w:sz w:val="18"/>
          <w:szCs w:val="18"/>
          <w:color w:val="auto"/>
        </w:rPr>
        <w:t>This prospectus describes the general terms of the securities we or the selling shareholder may offer and the general manner in which we or the selling shareholder may offer these securities. Each time we or the selling shareholder offers and sells securities, we or the selling shareholder will provide the specific terms of the offering of securities in one or more supplements to this prospectus. Such prospectus supplements may also add, update or change information contained in this prospectus. You should carefully read this prospectus and any applicable prospectus supplement, together with the documents we incorporate by reference, before you invest in any of our securities. This prospectus may not be used to consummate a sale of securities unless accompanied by an applicable prospectus supplement.</w:t>
      </w:r>
    </w:p>
    <w:p>
      <w:pPr>
        <w:spacing w:after="0" w:line="57" w:lineRule="exact"/>
        <w:rPr>
          <w:sz w:val="20"/>
          <w:szCs w:val="20"/>
          <w:color w:val="auto"/>
        </w:rPr>
      </w:pPr>
    </w:p>
    <w:p>
      <w:pPr>
        <w:ind w:left="400" w:right="439"/>
        <w:spacing w:after="0" w:line="256" w:lineRule="auto"/>
        <w:rPr>
          <w:sz w:val="20"/>
          <w:szCs w:val="20"/>
          <w:color w:val="auto"/>
        </w:rPr>
      </w:pPr>
      <w:r>
        <w:rPr>
          <w:rFonts w:ascii="Times New Roman" w:cs="Times New Roman" w:eastAsia="Times New Roman" w:hAnsi="Times New Roman"/>
          <w:sz w:val="18"/>
          <w:szCs w:val="18"/>
          <w:color w:val="auto"/>
        </w:rPr>
        <w:t>We or the selling shareholder may offer and sell securities on a continuous or delayed basis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For additional information on the methods of sale, you should refer to the caption “Plan of Distribution” in this prospectus.</w:t>
      </w:r>
    </w:p>
    <w:p>
      <w:pPr>
        <w:spacing w:after="0" w:line="39" w:lineRule="exact"/>
        <w:rPr>
          <w:sz w:val="20"/>
          <w:szCs w:val="20"/>
          <w:color w:val="auto"/>
        </w:rPr>
      </w:pPr>
    </w:p>
    <w:p>
      <w:pPr>
        <w:ind w:left="400" w:right="639"/>
        <w:spacing w:after="0" w:line="280" w:lineRule="auto"/>
        <w:rPr>
          <w:sz w:val="20"/>
          <w:szCs w:val="20"/>
          <w:color w:val="auto"/>
        </w:rPr>
      </w:pPr>
      <w:r>
        <w:rPr>
          <w:rFonts w:ascii="Times New Roman" w:cs="Times New Roman" w:eastAsia="Times New Roman" w:hAnsi="Times New Roman"/>
          <w:sz w:val="18"/>
          <w:szCs w:val="18"/>
          <w:color w:val="auto"/>
        </w:rPr>
        <w:t>We will only sell securities pursuant to this prospectus for which preferential subscription rights shall have been waived by our shareholders in accordance with French law.</w:t>
      </w:r>
    </w:p>
    <w:p>
      <w:pPr>
        <w:spacing w:after="0" w:line="17" w:lineRule="exact"/>
        <w:rPr>
          <w:sz w:val="20"/>
          <w:szCs w:val="20"/>
          <w:color w:val="auto"/>
        </w:rPr>
      </w:pPr>
    </w:p>
    <w:p>
      <w:pPr>
        <w:ind w:left="400" w:right="519"/>
        <w:spacing w:after="0" w:line="256" w:lineRule="auto"/>
        <w:rPr>
          <w:sz w:val="20"/>
          <w:szCs w:val="20"/>
          <w:color w:val="auto"/>
        </w:rPr>
      </w:pPr>
      <w:r>
        <w:rPr>
          <w:rFonts w:ascii="Times New Roman" w:cs="Times New Roman" w:eastAsia="Times New Roman" w:hAnsi="Times New Roman"/>
          <w:sz w:val="18"/>
          <w:szCs w:val="18"/>
          <w:color w:val="auto"/>
        </w:rPr>
        <w:t>Ordinary Shares that we sell in the United States will be sold in the form of ADSs. Each ADS represents one ordinary share. ADSs are traded on the Nasdaq Global Select Market under the symbol “NBTX.” On March 5, 2025, the last reported sale price of our ADSs on the Nasdaq Global Select Market was $3.48 per ADS. Our Ordinary Shares are traded on the regulated market of Euronext in Paris under the symbol “NANO.” On March 5, 2025, the last reported sale price of our Ordinary Shares on the regulated market of Euronext in Paris was €3.274 per share.</w:t>
      </w:r>
    </w:p>
    <w:p>
      <w:pPr>
        <w:spacing w:after="0" w:line="52" w:lineRule="exact"/>
        <w:rPr>
          <w:sz w:val="20"/>
          <w:szCs w:val="20"/>
          <w:color w:val="auto"/>
        </w:rPr>
      </w:pPr>
    </w:p>
    <w:p>
      <w:pPr>
        <w:ind w:left="400" w:right="439"/>
        <w:spacing w:after="0" w:line="260" w:lineRule="auto"/>
        <w:rPr>
          <w:sz w:val="20"/>
          <w:szCs w:val="20"/>
          <w:color w:val="auto"/>
        </w:rPr>
      </w:pPr>
      <w:r>
        <w:rPr>
          <w:rFonts w:ascii="Times New Roman" w:cs="Times New Roman" w:eastAsia="Times New Roman" w:hAnsi="Times New Roman"/>
          <w:sz w:val="18"/>
          <w:szCs w:val="18"/>
          <w:color w:val="auto"/>
        </w:rPr>
        <w:t>The preferred shares and warrants described in this prospectus have not been approved for listing on any market or exchange, and we have not made any application for such listing. Any application for listing on the Nasdaq or any other securities market or other exchange with respect to such securities will be included, if applicable, in the relevant prospectus supplement.</w:t>
      </w:r>
    </w:p>
    <w:p>
      <w:pPr>
        <w:spacing w:after="0" w:line="31" w:lineRule="exact"/>
        <w:rPr>
          <w:sz w:val="20"/>
          <w:szCs w:val="20"/>
          <w:color w:val="auto"/>
        </w:rPr>
      </w:pPr>
    </w:p>
    <w:p>
      <w:pPr>
        <w:ind w:left="400" w:right="5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YOU SHOULD REVIEW CAREFULLY THE RISKS AND UNCERTAINTIES REFERENCED UNDER THE HEADING “RISK FACTORS”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AS WELL AS THOSE CONTAINED IN ANY APPLICABLE PROSPECTUS SUPPLEMENT AND ANY RELATED FREE WRITING PROSPECTUS, AND IN THE DOCUMENTS THAT ARE INCORPORATED BY REFERENCE INTO THIS PROSPECTUS OR ANY APPLICABLE PROSPECTUS SUPPLEMENT.</w:t>
      </w:r>
    </w:p>
    <w:p>
      <w:pPr>
        <w:spacing w:after="0" w:line="34" w:lineRule="exact"/>
        <w:rPr>
          <w:sz w:val="20"/>
          <w:szCs w:val="20"/>
          <w:color w:val="auto"/>
        </w:rPr>
      </w:pPr>
    </w:p>
    <w:p>
      <w:pPr>
        <w:ind w:left="400" w:right="719"/>
        <w:spacing w:after="0" w:line="26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March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gridSpan w:val="11"/>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Nanobiotix S.A.</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960" w:type="dxa"/>
            <w:vAlign w:val="bottom"/>
            <w:gridSpan w:val="13"/>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7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400" w:type="dxa"/>
            <w:vAlign w:val="bottom"/>
            <w:gridSpan w:val="10"/>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2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Shareholder</w:t>
            </w:r>
          </w:p>
        </w:tc>
        <w:tc>
          <w:tcPr>
            <w:tcW w:w="6700" w:type="dxa"/>
            <w:vAlign w:val="bottom"/>
            <w:gridSpan w:val="12"/>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48</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3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5820" w:type="dxa"/>
            <w:vAlign w:val="bottom"/>
            <w:gridSpan w:val="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30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Taxation</w:t>
            </w:r>
          </w:p>
        </w:tc>
        <w:tc>
          <w:tcPr>
            <w:tcW w:w="5820" w:type="dxa"/>
            <w:vAlign w:val="bottom"/>
            <w:gridSpan w:val="6"/>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2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80" w:type="dxa"/>
            <w:vAlign w:val="bottom"/>
            <w:gridSpan w:val="3"/>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52</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53</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the shelf process, we may sell the securities described in this prospectus from time to time in the future in one or more offerings up to a total dollar amount of $200,000,000 and the selling shareholder named in this prospectus may from time to time sell up to 5,623,816 Ordinary Shares, including in the form of ADSs, from time to time in the future in one or more offerings, in each case, as described in this prospectus.</w:t>
      </w:r>
    </w:p>
    <w:p>
      <w:pPr>
        <w:spacing w:after="0" w:line="79"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This prospectus only provides you with a general description of the securities we or the selling shareholder may offer. Each time that we or the selling shareholder offers and sells securities, we or the selling shareholder will provide prospective investors with a supplement to this prospectus that will contain specific information about the terms of that offering, including the specific amounts, prices and terms of the securities offered. The prospectus supplement may also add to, update or change information contained in this prospectus. Accordingly, to the extent inconsistent, information in this prospectus is superseded by the information in any prospectus supplement. You should carefully read both this prospectus and any accompanying prospectus supplement, together with the information incorporated by reference and any other offering materials. See “Where You Can Find Additional Information” and “Incorporation of Certain Information by Reference.”</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“Nanobiotix,”</w:t>
      </w:r>
    </w:p>
    <w:p>
      <w:pPr>
        <w:spacing w:after="0" w:line="27" w:lineRule="exact"/>
        <w:rPr>
          <w:sz w:val="20"/>
          <w:szCs w:val="20"/>
          <w:color w:val="auto"/>
        </w:rPr>
      </w:pPr>
    </w:p>
    <w:p>
      <w:pPr>
        <w:jc w:val="both"/>
        <w:ind w:left="300" w:right="559"/>
        <w:spacing w:after="0" w:line="255" w:lineRule="auto"/>
        <w:rPr>
          <w:sz w:val="20"/>
          <w:szCs w:val="20"/>
          <w:color w:val="auto"/>
        </w:rPr>
      </w:pPr>
      <w:r>
        <w:rPr>
          <w:rFonts w:ascii="Times New Roman" w:cs="Times New Roman" w:eastAsia="Times New Roman" w:hAnsi="Times New Roman"/>
          <w:sz w:val="18"/>
          <w:szCs w:val="18"/>
          <w:color w:val="auto"/>
        </w:rPr>
        <w:t>“the Company,” “we,” “us” and “our” refer to Nanobiotix S.A. and its consolidated subsidiaries. All references in this prospectus the symbol “$” and references to “dollars” mean U.S. dollars and all references to the symbol “€” mean euros, unless otherwise noted.</w:t>
      </w:r>
    </w:p>
    <w:p>
      <w:pPr>
        <w:spacing w:after="0" w:line="78"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Neither we nor the selling shareholder have authorized anyone to provide you with any information other than that contained in this prospectus, any applicable prospectus supplement or in any free writing prospectus prepared by or on behalf of us to which we have referred you. Neither we nor the selling shareholder have authorized any other person to provide you with different information. Neither we nor the selling shareholder take any responsibility for, and provide no assurances as to the reliability of, any other information that others may give you.</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You should assume that the information in this prospectus, any applicable prospectus supplement, any document incorporated by reference herein or therein, and any free writing prospectus prepared by or on behalf of us to which we have referred you is accurate only as of the respective date on the front of the applicable document, regardless of the time of delivery. Our business, financial condition, results of operations and prospects may have changed since that date.</w:t>
      </w:r>
    </w:p>
    <w:p>
      <w:pPr>
        <w:spacing w:after="0" w:line="75"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Neither we nor the selling shareholder are making an offer to sell or a solicitation of an offer to buy any securities described herein in any jurisdiction in which an offer or solicitation is not permitted or in which the person making that offer or solicitation is not qualified to do so or to anyone to whom it is unlawful to make an offer or solicitation.</w:t>
      </w:r>
    </w:p>
    <w:p>
      <w:pPr>
        <w:spacing w:after="0" w:line="46"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Neither we nor the selling shareholder have done anything that would permit an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own various trademark registrations and applications, and unregistered trademarks and service marks. “Nanobiotix,” “NBTX” (including, among others, referring to NBTXR3), the Nanobiotix logo and other trademarks or service marks of Nanobiotix S.A. appearing in this prospectus, any prospectus supplement and the information incorporated by reference in this prospectus and any prospectus supplement are the property of Nanobiotix S.A. or its subsidiaries. Solely for convenience, the trademarks, service marks and trade names referred to in this prospectus, any prospectus supplement and the information incorporated by reference in this prospectus and any prospectus supplement are listed without the ® and ™ symbols, but such references should not be construed as any indicator that their respective owners will not assert, to the fullest extent under applicable law, their rights thereto. All other trademarks, trade names and service marks appearing in this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prospectus, any prospectus supplement and the information incorporated by reference in this prospectus and any prospectus supplement are the property of their respective owners. We do not intend to use or display other companies’ trademarks and trade names to imply any relationship with, or endorsement or sponsorship of us by, any other companies.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any prospectus supplement and the information incorporated by reference in this prospectus and any prospectus supplement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any market opportunity information included in this prospectus, any prospectus supplement and the information incorporated by reference in this prospectus and any prospectus supplement is generally reliable and is based on reasonable assumptions, such data involves risks and uncertainties and are subject to change based on various factors, including those discussed in the section of this prospectus, any prospectus supplement and the information incorporated by reference in this prospectus and any prospectus supplement titled “Risk Factors,” in the section titled “Risk Factors” included in our most recent Annual Report on Form 20-F (the “Annual Report”), as updated by our subsequent Annual Reports, Reports on Form 6-K and the other documents incorporated by reference in this prospectus and any prospectus supplement. These and other factors could cause our future performance to differ materially from our assumptions and estimates. See “Special Note Regarding Forward-Looking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contain “forward-looking statements” within the meaning of applicable federal securities laws, including Section 27A of the Securities Act of 1933, as amended (the “Securities Act”), and Section 21E of the Securities Exchange Act of 1934, as amended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any prospectus supplement and the documents incorporated by reference in this prospectus and any prospectus supplement, the words “anticipate,” “believe,” “can,” “could,” “estimate,” “expect,” “intend,” “is designed to,” “may,” “might,” “plan,” “potential,” “predict,” “objective,” “shall,” “should,” “will,” or the negative of these and similar expressions identify forward-looking statements.</w:t>
      </w:r>
    </w:p>
    <w:p>
      <w:pPr>
        <w:spacing w:after="0" w:line="8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and actual results may differ materially from those expressed or implied in the forward-looking statements due to various factors, including, but not limited to, those identified under the caption “Risk Factors” in this prospectus, any prospectus supplement, and the information incorporated by reference in this prospectus and any prospectus supplement. These risks and uncertainties include factors relating to:</w:t>
      </w:r>
    </w:p>
    <w:p>
      <w:pPr>
        <w:spacing w:after="0" w:line="75" w:lineRule="exact"/>
        <w:rPr>
          <w:sz w:val="20"/>
          <w:szCs w:val="20"/>
          <w:color w:val="auto"/>
        </w:rPr>
      </w:pPr>
    </w:p>
    <w:p>
      <w:pPr>
        <w:ind w:left="1000" w:right="579" w:hanging="348"/>
        <w:spacing w:after="0" w:line="312"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commercialize NBTXR3, including through the License Agreement with Janssen Pharmaceutica NV (“Janssen”), dated July 7 2023 (the “Janssen Agreement”);</w:t>
      </w:r>
    </w:p>
    <w:p>
      <w:pPr>
        <w:spacing w:after="0" w:line="31" w:lineRule="exact"/>
        <w:rPr>
          <w:rFonts w:ascii="Times New Roman" w:cs="Times New Roman" w:eastAsia="Times New Roman" w:hAnsi="Times New Roman"/>
          <w:sz w:val="17"/>
          <w:szCs w:val="17"/>
          <w:color w:val="auto"/>
        </w:rPr>
      </w:pPr>
    </w:p>
    <w:p>
      <w:pPr>
        <w:ind w:left="1000" w:right="699" w:hanging="348"/>
        <w:spacing w:after="0" w:line="312"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our product pipeline by developing and commercializing NBTXR3 in additional indications, including in combination with chemotherapies or immuno-oncology (“I-O”) treatment;</w:t>
      </w:r>
    </w:p>
    <w:p>
      <w:pPr>
        <w:spacing w:after="0" w:line="31" w:lineRule="exact"/>
        <w:rPr>
          <w:rFonts w:ascii="Times New Roman" w:cs="Times New Roman" w:eastAsia="Times New Roman" w:hAnsi="Times New Roman"/>
          <w:sz w:val="17"/>
          <w:szCs w:val="17"/>
          <w:color w:val="auto"/>
        </w:rPr>
      </w:pPr>
    </w:p>
    <w:p>
      <w:pPr>
        <w:ind w:left="1000" w:right="7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institutions with greater financial resources and expertise in research and development, preclinical testing, clinical trials, manufacturing and marketing;</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applicable pre-marketing regulatory requirements and/or our ability to maintain regulatory approvals and certifications for our products and product candidates and the rate and degree of market acceptance of our product candidates, including NBTXR3;</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(the “EU”), and other countries;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those trials to be conducted under our collaborations with the MD Anderson Cancer Center of the University of Texas (“MD Anderson”) and Janssen;</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timeline of our clinical trial completion, including our ability, and the ability of our development partners, to successfully conduct, supervise and monitor clinical trials for our product candidates, including, without limitation, the completion of our pivotal clinical trial NANORAY-312 relating to NBTXR3 within the expected timelines, subject to various factors, including enrollment rates and any potential impacts associated with the transfer of sponsorship of this clinical trial from Nanobiotix to Janssen;</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Janssen’s ability to complete the NANORAY-312 clinical trial within the expected timeline;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strategic plan for our platforms, product candidates and technology;</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raw materials and maintain and operate our facilities to manufacture our product candidates;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and distribute our products upon successful completion of applicable pre-marketing regulatory requirements, specifically NBTXR3;</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Janssen to achieve the commercialization goals for NBTXR3;</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under our collaboration agreements and to effectively resolve disputes, if any;</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Janssen to conduct the NBTXR3 co-development and commercialization activities worldwide in accordance with our agreements with Janssen;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and other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and exposure to global markets;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 rights, manufacturing know-how and proprietary technologies and our ability to operate our business without infringing upon the intellectual property rights and proprietary technologies of third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capital resources;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expenses, capital expenditures, capital requirements and performance of our publicly traded equity securities;</w:t>
      </w:r>
    </w:p>
    <w:p>
      <w:pPr>
        <w:spacing w:after="0" w:line="53"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foreign private issuer and emerging growth company and the reduced disclosure requirements associated with maintaining these statuses; and</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in this prospectus, any prospectus supplement and the information incorporated by reference in this prospectus and any prospectus supplement.</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As a result of these factors, we cannot assure you that the forward-looking statements in this prospectus, any prospectus supplement, and the documents incorporated by reference in this prospectus and any prospectus supplement will prove to be accurate. Furthermore, if our forward-looking statements prove to be inaccurate, actual results may be materially different.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Many important factors, in addition to the factors described in this prospectus and any prospectus supplement, which may adversely affect such forward-looking statements are set forth in Part I, Item 3.D. of our Annual Report, as updated by our subsequent Annual Reports, Reports on Form 6-K and the other documents incorporated by reference in this prospectus and any prospectus supplement. See “Where You Can Find Additional Information” and “Incorporation of Certain Information by Reference.” Many of these risks, uncertainties and assumptions are beyond our control, and may cause our actual results and performance to differ materially from our expectations. Accordingly, you should not place undue reliance on any forward-looking statements contained or incorporated by reference in this prospectus, any applicable prospectus supplement or the documents incorporated by reference herein and therein.</w:t>
      </w:r>
    </w:p>
    <w:p>
      <w:pPr>
        <w:spacing w:after="0" w:line="8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any applicable prospectus supplement, or the relevant document that we reference in this prospectus and any prospectus supplement, as applicable,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1" w:lineRule="exact"/>
        <w:rPr>
          <w:sz w:val="20"/>
          <w:szCs w:val="20"/>
          <w:color w:val="auto"/>
        </w:rPr>
      </w:pPr>
    </w:p>
    <w:p>
      <w:pPr>
        <w:jc w:val="both"/>
        <w:ind w:left="300" w:right="37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that we reference in this prospectus and any prospectus supplement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NANOBIOTIX S.A.</w:t>
      </w: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Company Overview</w:t>
      </w:r>
    </w:p>
    <w:p>
      <w:pPr>
        <w:spacing w:after="0" w:line="119"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We are a late-stage clinical biotechnology company pioneering the discovery, development, manufacture and commercialization of disruptive, physics-based nanotherapeutics We aim to create products with the potential to transform health outcomes for millions of patients with cancer and other major diseases.</w:t>
      </w:r>
    </w:p>
    <w:p>
      <w:pPr>
        <w:spacing w:after="0" w:line="68"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Our lead product candidate, NBTXR3, is a potential first-in-class radioenhancer with therapeutic applications across a range of solid tumors. NBTXR3 is designed to increase the dose of radiotherapy that is absorbed and deposited into tumor cells without increasing the dose in surrounding healthy tissues, thereby destroying the target tumor and priming the immune response attack on metastatic tumors. To realize the potential of NBTXR3, we are engaged in a global licensing agreement with Janssen for the co-development and commercialization of this product candidate.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181610</wp:posOffset>
            </wp:positionV>
            <wp:extent cx="5083175" cy="2314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08317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Information</w:t>
      </w:r>
    </w:p>
    <w:p>
      <w:pPr>
        <w:spacing w:after="0" w:line="117"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 xml:space="preserve">We were incorporated as a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under the laws of the French Republic on March 4, 2003. We are registered at the Paris </w:t>
      </w:r>
      <w:r>
        <w:rPr>
          <w:rFonts w:ascii="Times New Roman" w:cs="Times New Roman" w:eastAsia="Times New Roman" w:hAnsi="Times New Roman"/>
          <w:sz w:val="17"/>
          <w:szCs w:val="17"/>
          <w:i w:val="1"/>
          <w:iCs w:val="1"/>
          <w:color w:val="auto"/>
        </w:rPr>
        <w:t>Registre du Commerce et des Sociétés</w:t>
      </w:r>
      <w:r>
        <w:rPr>
          <w:rFonts w:ascii="Times New Roman" w:cs="Times New Roman" w:eastAsia="Times New Roman" w:hAnsi="Times New Roman"/>
          <w:sz w:val="17"/>
          <w:szCs w:val="17"/>
          <w:color w:val="auto"/>
        </w:rPr>
        <w:t xml:space="preserve"> under the number 447 521 600. Our principal executive offices are located at 60, rue de Wattignies, 75012 Paris, France, and our telephone number is +33 1 40 26 04 70. Our agent for service of process in the United States is our U.S. subsidiary, Nanobiotix Corporation. Our ordinary shares began trading on the regulated market of Euronext in Paris in October 2012. Our ADSs began trading on the Nasdaq Global Select Market in December 2020. We also maintain a website at </w:t>
      </w:r>
      <w:r>
        <w:rPr>
          <w:rFonts w:ascii="Times New Roman" w:cs="Times New Roman" w:eastAsia="Times New Roman" w:hAnsi="Times New Roman"/>
          <w:sz w:val="17"/>
          <w:szCs w:val="17"/>
          <w:i w:val="1"/>
          <w:iCs w:val="1"/>
          <w:color w:val="auto"/>
        </w:rPr>
        <w:t>http://www.nanobiotix.com/en/</w:t>
      </w:r>
      <w:r>
        <w:rPr>
          <w:rFonts w:ascii="Times New Roman" w:cs="Times New Roman" w:eastAsia="Times New Roman" w:hAnsi="Times New Roman"/>
          <w:sz w:val="17"/>
          <w:szCs w:val="17"/>
          <w:color w:val="auto"/>
        </w:rPr>
        <w:t>. The reference to our website is an inactive textual reference only and the information contained in, or that can be accessed through, our website or any other website cited in this prospectus is not a part of this prospectus.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deciding whether to purchase our securities, you should carefully consider the risk factors incorporated by reference from our most recent Annual Report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or financial condition and cause the value of our securities to decline, in which case you may lose all or part of your investment. For more information, see “Where You Can Find Additional Information” and “Incorporation of Certain Information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Unless otherwise set forth in a prospectus supplement, we currently intend to use the net proceeds of any offering of securities by us for working capital and other general corporate purposes. Accordingly, we will have significant discretion in the use of any net proceeds that we receive from the sale of such securities. We may provide additional information on the use of the net proceeds from the sale of securities offered by us in an applicable prospectus supplement relating to the offered securities. We will not receive any proceeds from the sale of Ordinary Shares being offered by the selling shareholder.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121" w:lineRule="exact"/>
        <w:rPr>
          <w:sz w:val="20"/>
          <w:szCs w:val="20"/>
          <w:color w:val="auto"/>
        </w:rPr>
      </w:pPr>
    </w:p>
    <w:p>
      <w:pPr>
        <w:ind w:left="1300" w:right="1460"/>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total capitalization and cash and cash equivalents as of June 30, 2024. You should read the financial data in the following table in conjunction with our financial statements and related notes incorporated by reference into this prospectus. The information presented in the capitalization table below is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30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€0.03 nominal value:</w:t>
            </w:r>
          </w:p>
        </w:tc>
        <w:tc>
          <w:tcPr>
            <w:tcW w:w="3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47,426,851 shares issued and outstanding</w:t>
            </w: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related to share capital</w:t>
            </w:r>
          </w:p>
        </w:tc>
        <w:tc>
          <w:tcPr>
            <w:tcW w:w="4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312,743</w:t>
            </w:r>
          </w:p>
        </w:tc>
        <w:tc>
          <w:tcPr>
            <w:tcW w:w="1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(314,578)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920" w:type="dxa"/>
            <w:vAlign w:val="bottom"/>
            <w:gridSpan w:val="2"/>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(21,872)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920" w:type="dxa"/>
            <w:vAlign w:val="bottom"/>
            <w:gridSpan w:val="2"/>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3920" w:type="dxa"/>
            <w:vAlign w:val="bottom"/>
            <w:gridSpan w:val="2"/>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w:t>
            </w: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3920" w:type="dxa"/>
            <w:vAlign w:val="bottom"/>
            <w:gridSpan w:val="2"/>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920" w:type="dxa"/>
            <w:vAlign w:val="bottom"/>
            <w:tcBorders>
              <w:bottom w:val="single" w:sz="8" w:color="CCEEFF"/>
            </w:tcBorders>
            <w:gridSpan w:val="2"/>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820" w:type="dxa"/>
            <w:vAlign w:val="bottom"/>
            <w:vMerge w:val="restart"/>
          </w:tcPr>
          <w:p>
            <w:pPr>
              <w:jc w:val="right"/>
              <w:ind w:right="3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1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summarizes certain provisions of our By-laws. Such summaries do not purport to be complete and are subject to, and are qualified in their entirety by reference to, all of the provisions of our By-laws, a copy of which has been filed with the SEC. Holders of ADSs will be able to exercise their rights with respect to the ordinary shares underlying the ADSs only in accordance with the terms of the deposit agreement. See “Description of American Depositary Shares” for more information.</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As of June 30, 2024, our outstanding share capital consisted of a total of 47,426,851 issued and fully paid ordinary shares, with nominal value €0.03 per share, including shares underlying outstanding ADSs. We have no preferred shares outstanding.</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Under French law, our By-laws set forth only our issued and outstanding share capital as of the date of the By-laws. Our fully diluted share capital represents all issued and outstanding shares, as well as all potential shares which may be issued upon exercise of outstanding founders’ warrants, warrants and stock options, as approved by our shareholders and granted by our supervisory board.</w:t>
      </w:r>
    </w:p>
    <w:p>
      <w:pPr>
        <w:spacing w:after="0" w:line="72"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We are entitled under French law to issue preferred shares but our By-laws do not currently specify specific characteristics or rights attached to any specific category of preferred shares, which would be determined by the extraordinary general meeting convened for such purpose.</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the Number of Ordinary Shares Outstanding through June 30, 2024</w:t>
            </w:r>
          </w:p>
        </w:tc>
        <w:tc>
          <w:tcPr>
            <w:tcW w:w="1080" w:type="dxa"/>
            <w:vAlign w:val="bottom"/>
          </w:tcPr>
          <w:p>
            <w:pPr>
              <w:spacing w:after="0"/>
              <w:rPr>
                <w:sz w:val="20"/>
                <w:szCs w:val="20"/>
                <w:color w:val="auto"/>
              </w:rPr>
            </w:pPr>
          </w:p>
        </w:tc>
      </w:tr>
      <w:tr>
        <w:trPr>
          <w:trHeight w:val="121"/>
        </w:trPr>
        <w:tc>
          <w:tcPr>
            <w:tcW w:w="7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3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January 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34,432,122</w:t>
            </w: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 shares issued in connection with the definitive acquisition of free shares (AGA)</w:t>
            </w:r>
          </w:p>
        </w:tc>
        <w:tc>
          <w:tcPr>
            <w:tcW w:w="1080" w:type="dxa"/>
            <w:vAlign w:val="bottom"/>
          </w:tcPr>
          <w:p>
            <w:pPr>
              <w:spacing w:after="0"/>
              <w:rPr>
                <w:sz w:val="18"/>
                <w:szCs w:val="18"/>
                <w:color w:val="auto"/>
              </w:rPr>
            </w:pPr>
          </w:p>
        </w:tc>
      </w:tr>
      <w:tr>
        <w:trPr>
          <w:trHeight w:val="24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on March 31, 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393,750</w:t>
            </w: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December 31,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34,825,872</w:t>
            </w: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 shares issued in connection with the definitive acquisition of free shares (AGA)</w:t>
            </w:r>
          </w:p>
        </w:tc>
        <w:tc>
          <w:tcPr>
            <w:tcW w:w="1080" w:type="dxa"/>
            <w:vAlign w:val="bottom"/>
          </w:tcPr>
          <w:p>
            <w:pPr>
              <w:spacing w:after="0"/>
              <w:rPr>
                <w:sz w:val="18"/>
                <w:szCs w:val="18"/>
                <w:color w:val="auto"/>
              </w:rPr>
            </w:pPr>
          </w:p>
        </w:tc>
      </w:tr>
      <w:tr>
        <w:trPr>
          <w:trHeight w:val="24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on March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34,875,872</w:t>
            </w: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 shares issued in connection with the definitive acquisition of free shares (AGA)</w:t>
            </w:r>
          </w:p>
        </w:tc>
        <w:tc>
          <w:tcPr>
            <w:tcW w:w="1080" w:type="dxa"/>
            <w:vAlign w:val="bottom"/>
          </w:tcPr>
          <w:p>
            <w:pPr>
              <w:spacing w:after="0"/>
              <w:rPr>
                <w:sz w:val="18"/>
                <w:szCs w:val="18"/>
                <w:color w:val="auto"/>
              </w:rPr>
            </w:pPr>
          </w:p>
        </w:tc>
      </w:tr>
      <w:tr>
        <w:trPr>
          <w:trHeight w:val="24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on April 20,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354,510</w:t>
            </w:r>
          </w:p>
        </w:tc>
      </w:tr>
      <w:tr>
        <w:trPr>
          <w:trHeight w:val="21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 shares issued to Johnson &amp; Johnson Innovations—JJDC, Inc. (“JJDC”) in</w:t>
            </w:r>
          </w:p>
        </w:tc>
        <w:tc>
          <w:tcPr>
            <w:tcW w:w="1080" w:type="dxa"/>
            <w:vAlign w:val="bottom"/>
            <w:shd w:val="clear" w:color="auto" w:fill="CCEEFF"/>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1 pursuant to the Securities Purchase Agreement (the “JJDC SPA”) dated July 7, 2023 on</w:t>
            </w:r>
          </w:p>
        </w:tc>
        <w:tc>
          <w:tcPr>
            <w:tcW w:w="108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959,637</w:t>
            </w: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 shares issued to “qualified investors” outside of the United States in connection</w:t>
            </w:r>
          </w:p>
        </w:tc>
        <w:tc>
          <w:tcPr>
            <w:tcW w:w="1080" w:type="dxa"/>
            <w:vAlign w:val="bottom"/>
          </w:tcPr>
          <w:p>
            <w:pPr>
              <w:spacing w:after="0"/>
              <w:rPr>
                <w:sz w:val="18"/>
                <w:szCs w:val="18"/>
                <w:color w:val="auto"/>
              </w:rPr>
            </w:pPr>
          </w:p>
        </w:tc>
      </w:tr>
      <w:tr>
        <w:trPr>
          <w:trHeight w:val="24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with the closing of a global follow-on offering on November 7,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2,492,223</w:t>
            </w:r>
          </w:p>
        </w:tc>
      </w:tr>
      <w:tr>
        <w:trPr>
          <w:trHeight w:val="21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 shares issued in the form of ADSs in the United States in connection with the</w:t>
            </w:r>
          </w:p>
        </w:tc>
        <w:tc>
          <w:tcPr>
            <w:tcW w:w="108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of a global follow-on offering on November 7,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3,786,907</w:t>
            </w: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 shares issued to JJDC in Tranche 2, part 1, pursuant to the JJDC SPA, on</w:t>
            </w:r>
          </w:p>
        </w:tc>
        <w:tc>
          <w:tcPr>
            <w:tcW w:w="1080" w:type="dxa"/>
            <w:vAlign w:val="bottom"/>
          </w:tcPr>
          <w:p>
            <w:pPr>
              <w:spacing w:after="0"/>
              <w:rPr>
                <w:sz w:val="18"/>
                <w:szCs w:val="18"/>
                <w:color w:val="auto"/>
              </w:rPr>
            </w:pPr>
          </w:p>
        </w:tc>
      </w:tr>
      <w:tr>
        <w:trPr>
          <w:trHeight w:val="24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3,762,923</w:t>
            </w:r>
          </w:p>
        </w:tc>
      </w:tr>
      <w:tr>
        <w:trPr>
          <w:trHeight w:val="21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 shares issued to JJDC in Tranche 2, part 2, pursuant to the JJDC SPA, on</w:t>
            </w:r>
          </w:p>
        </w:tc>
        <w:tc>
          <w:tcPr>
            <w:tcW w:w="108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13,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901,256</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as of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47,133,328</w:t>
            </w:r>
          </w:p>
        </w:tc>
      </w:tr>
      <w:tr>
        <w:trPr>
          <w:trHeight w:val="21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 shares issued in connection with the definitive acquisition of free shares (AGA)</w:t>
            </w:r>
          </w:p>
        </w:tc>
        <w:tc>
          <w:tcPr>
            <w:tcW w:w="108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June 22,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293,523</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as of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47,426,851</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 January 1, 2021, the following events have changed the number of our issued and outstanding shares:</w:t>
      </w:r>
    </w:p>
    <w:p>
      <w:pPr>
        <w:spacing w:after="0" w:line="117"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On March 31, 2021, we issued an aggregate of 393,750 ordinary shares as a result of the definitive acquisition of free shares.</w:t>
      </w:r>
    </w:p>
    <w:p>
      <w:pPr>
        <w:spacing w:after="0" w:line="5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On March 31, 2022, we issued an aggregate of 50,000 ordinary shares as a result of the definitive acquisition of free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On April 20, 2023, we issued an aggregate of 354,510 ordinary shares as a result of the definitive acquisition of free shares.</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On September 11, 2023, we issued 959,637 ordinary shares in the form of restricted ADSs in a private placement transaction to JJDC against subscription proceeds of $5.0 million pursuant to the JJDC SPA.</w:t>
      </w:r>
    </w:p>
    <w:p>
      <w:pPr>
        <w:spacing w:after="0" w:line="54"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On November 7, 2023, we issued 2,492,223 ordinary shares to “qualified investors” in Europe and other countries (excluding the United States and Canada) at an offering price of €5.07 per ordinary share in connection with the closing of a global follow-on offering.</w:t>
      </w:r>
    </w:p>
    <w:p>
      <w:pPr>
        <w:spacing w:after="0" w:line="68"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On November 7, 2023, we issued 3,762,923 ordinary shares in the form of ADSs to investors in the United States at an offering price of $5.36 per ADS in connection with the closing of a global follow-on offering.</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On November 10, 2023, we issued 3,762,923 ordinary shares in the form of restricted ADSs in a private placement transaction to JJDC at a price per ADS equal to $5.36.</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On December 13, 2023, upon approval of the French Ministry of Economy, we issued 901,256 ordinary shares in the form of restricted ADSs in a private placement transaction to JJDC at a price per ADS equal to $5.36.</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June 22, 2024, we issued an aggregate of 293,523 shares as a result of the definitive acquisition of free shares.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Authorizations Regarding Share Capital</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shareholders’ meeting held on May 28, 2024, or the 2024 Shareholders’ Meeting, authorized the executive board of the Company to (i) increase our share capital, through the issuance of shares or other securities, for a share capital maximum total nominal amount of €1,413,999.84, corresponding to 47,133,328 new ordinary shares, and (ii) issue a maximum nominal amount of €150,000,000 (or its equivalent in foreign currency on the date of subscription) of debt securities, subject to certain conditions and qualifications. These authorizations may be implemented subject to prior approval to be issued by the Company’s supervisory board.</w:t>
      </w:r>
    </w:p>
    <w:p>
      <w:pPr>
        <w:spacing w:after="0" w:line="79"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following list shows the current authorizations granted in the 2024 Shareholders’ Meeting to the executive board of the Company in respect of capital increases:</w:t>
      </w:r>
    </w:p>
    <w:p>
      <w:pPr>
        <w:spacing w:after="0" w:line="54" w:lineRule="exact"/>
        <w:rPr>
          <w:sz w:val="20"/>
          <w:szCs w:val="20"/>
          <w:color w:val="auto"/>
        </w:rPr>
      </w:pPr>
    </w:p>
    <w:p>
      <w:pPr>
        <w:ind w:left="1000" w:right="39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to implement a share buyback program within certain agreed-upon financial limits whereby the Company can buy back up to 10% of the total number of the Company’s shares for the maximum duration permitted under French law (18 months);</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delegations of authority to increase our share capital, including by way of public offering, by issuing Ordinary Shares (including, where applicable, represented by ADSs) for the maximum duration permitted under French law (26 months) within a maximum aggregate potential dilution of 47,133,328 Ordinary Shares, while maintaining shareholders preferential subscription rights;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delegations of authority to increase our share capital, including by way of public offering or to the benefit of categories of persons meeting specific characteristics or in consideration for the shares tendered in response to any public tender offer presented by the Company for the shares of another company, by issuing Ordinary Shares (including, where applicable, represented by ADSs) for the maximum duration permitted under French law (18 to 26 months depending on the delegations) within a maximum aggregate potential dilution of 47,133,328 Ordinary Shares for which delegations our shareholders have waived their preferential subscription rights with respect to all such issuances (except when conducted specifically through rights issues);</w:t>
      </w:r>
    </w:p>
    <w:p>
      <w:pPr>
        <w:spacing w:after="0" w:line="8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delegations of authority to grant stock options (</w:t>
      </w:r>
      <w:r>
        <w:rPr>
          <w:rFonts w:ascii="Times New Roman" w:cs="Times New Roman" w:eastAsia="Times New Roman" w:hAnsi="Times New Roman"/>
          <w:sz w:val="18"/>
          <w:szCs w:val="18"/>
          <w:i w:val="1"/>
          <w:iCs w:val="1"/>
          <w:color w:val="auto"/>
        </w:rPr>
        <w:t>options de souscription et/ou d’achat d’actions</w:t>
      </w:r>
      <w:r>
        <w:rPr>
          <w:rFonts w:ascii="Times New Roman" w:cs="Times New Roman" w:eastAsia="Times New Roman" w:hAnsi="Times New Roman"/>
          <w:sz w:val="18"/>
          <w:szCs w:val="18"/>
          <w:color w:val="auto"/>
        </w:rPr>
        <w:t>) and/or free shares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to our employees and/or executive officers for the maximum duration permitted under French law (38 months) within a maximum aggregate potential dilution of 1,300,000 Ordinary Shares, for which delegations our shareholders waived their preferential subscription rights with respect to all such grants; and</w:t>
      </w:r>
    </w:p>
    <w:p>
      <w:pPr>
        <w:spacing w:after="0" w:line="75" w:lineRule="exact"/>
        <w:rPr>
          <w:rFonts w:ascii="Times New Roman" w:cs="Times New Roman" w:eastAsia="Times New Roman" w:hAnsi="Times New Roman"/>
          <w:sz w:val="18"/>
          <w:szCs w:val="18"/>
          <w:color w:val="auto"/>
        </w:rPr>
      </w:pPr>
    </w:p>
    <w:p>
      <w:pPr>
        <w:ind w:left="1000" w:right="579" w:hanging="348"/>
        <w:spacing w:after="0" w:line="25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delegations of authority to grant warrants (</w:t>
      </w:r>
      <w:r>
        <w:rPr>
          <w:rFonts w:ascii="Times New Roman" w:cs="Times New Roman" w:eastAsia="Times New Roman" w:hAnsi="Times New Roman"/>
          <w:sz w:val="18"/>
          <w:szCs w:val="18"/>
          <w:i w:val="1"/>
          <w:iCs w:val="1"/>
          <w:color w:val="auto"/>
        </w:rPr>
        <w:t>bons de souscription d’actions</w:t>
      </w:r>
      <w:r>
        <w:rPr>
          <w:rFonts w:ascii="Times New Roman" w:cs="Times New Roman" w:eastAsia="Times New Roman" w:hAnsi="Times New Roman"/>
          <w:sz w:val="18"/>
          <w:szCs w:val="18"/>
          <w:color w:val="auto"/>
        </w:rPr>
        <w:t>, or BSAs) to our supervisory board members, observers or consultants or other persons, excluding employees or executive board members, appointed by the supervisory board as member of a committee of the Company, for the maximum duration permitted under French law (18 months) within a maximum aggregate potential dilution of 1,300,000 Ordinary Shares, for which delegations our shareholders waived their preferential subscription rights with respect to all such grants.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of Our By-laws and French Law Affecting Our Ordinary Shares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version of our By-laws, which is included as an exhibit to the registration statement of which this prospectus is a part. In the event that our By-laws are modified in connection with the establishment of a specific category of preferred shares, the rights of holders of such preferred shares under our By-laws and French law will be described in the applicable prospectus supplement.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Purpose (Article 3 of the By-laws)</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Our corporate purpose, either directly or indirectly, in particular through the intermediary of subsidiaries or holdings, in France and abroad, is:</w:t>
      </w:r>
    </w:p>
    <w:p>
      <w:pPr>
        <w:spacing w:after="0" w:line="54"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in natural and physical sciences;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study, acquisition, granting of any patents, licenses, methods, trademarks and protection of specialized knowledge connected or relating in any way to the fields or technologies covering our corporate purpose;</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production, marketing, importation, exportation and exploitation by any means of drugs, pharmaceutical specialties, medical devices and other health goods;</w:t>
      </w:r>
    </w:p>
    <w:p>
      <w:pPr>
        <w:spacing w:after="0" w:line="51" w:lineRule="exact"/>
        <w:rPr>
          <w:rFonts w:ascii="Times New Roman" w:cs="Times New Roman" w:eastAsia="Times New Roman" w:hAnsi="Times New Roman"/>
          <w:sz w:val="18"/>
          <w:szCs w:val="18"/>
          <w:color w:val="auto"/>
        </w:rPr>
      </w:pPr>
    </w:p>
    <w:p>
      <w:pPr>
        <w:ind w:left="1000" w:right="299" w:hanging="348"/>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acquisition, rental, lease-management of all business assets or facilities (</w:t>
      </w:r>
      <w:r>
        <w:rPr>
          <w:rFonts w:ascii="Times New Roman" w:cs="Times New Roman" w:eastAsia="Times New Roman" w:hAnsi="Times New Roman"/>
          <w:sz w:val="18"/>
          <w:szCs w:val="18"/>
          <w:i w:val="1"/>
          <w:iCs w:val="1"/>
          <w:color w:val="auto"/>
        </w:rPr>
        <w:t>fonds de commerce</w:t>
      </w:r>
      <w:r>
        <w:rPr>
          <w:rFonts w:ascii="Times New Roman" w:cs="Times New Roman" w:eastAsia="Times New Roman" w:hAnsi="Times New Roman"/>
          <w:sz w:val="18"/>
          <w:szCs w:val="18"/>
          <w:color w:val="auto"/>
        </w:rPr>
        <w:t>), lease, installation, operation of all establishments (</w:t>
      </w:r>
      <w:r>
        <w:rPr>
          <w:rFonts w:ascii="Times New Roman" w:cs="Times New Roman" w:eastAsia="Times New Roman" w:hAnsi="Times New Roman"/>
          <w:sz w:val="18"/>
          <w:szCs w:val="18"/>
          <w:i w:val="1"/>
          <w:iCs w:val="1"/>
          <w:color w:val="auto"/>
        </w:rPr>
        <w:t>fonds de commerce</w:t>
      </w:r>
      <w:r>
        <w:rPr>
          <w:rFonts w:ascii="Times New Roman" w:cs="Times New Roman" w:eastAsia="Times New Roman" w:hAnsi="Times New Roman"/>
          <w:sz w:val="18"/>
          <w:szCs w:val="18"/>
          <w:color w:val="auto"/>
        </w:rPr>
        <w:t>) factories and workshops, relating to any of the specified activities;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in any transactions that may relate to our corporate purpose by creating new companies, subscribing or purchasing securities or corporate rights, merging or otherwise; and</w:t>
      </w:r>
    </w:p>
    <w:p>
      <w:pPr>
        <w:spacing w:after="0" w:line="53"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all financial, commercial, industrial transactions and transactions involving real estate or movable properties relating directly or indirectly to any of the aforementioned corporate purposes or any similar or related purpose, in order to promote their development or extension.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Supervisory Board (Conseil de surveillance)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Quorum and voting (Article 17 of the By-laws)</w:t>
      </w:r>
    </w:p>
    <w:p>
      <w:pPr>
        <w:spacing w:after="0" w:line="11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supervisory board may only deliberate if at least half of the members attend the applicable meeting in the manner provided for in our By-laws. In particular, French law and the charter of the supervisory board allow its members to attend meetings of the supervisory board in person or, to the extent permitted by applicable law, by videoconference or other telecommunications arrangements. In addition, a supervisory board member is allowed to grant another supervisory board member a proxy to represent him or her at a meeting of the supervisory board, but no member can hold more than one proxy at any meeting. Moreover, since the amendment of our By-laws decided by the shareholders’ meeting held on May 20, 2020, the members of the supervisory board are allowed to take certain specific decisions by written consultation, such as convening a shareholders’ meeting or making provisional appointments to the supervisory board in accordance with Article L. 225-78 of the French Commercial Code. Decisions of the supervisory board are adopted by the majority of the voting rights held by the members present or represented, it being specified that in case of a vote-split, the chairman of the supervisory board shall have the deciding vote.</w:t>
      </w:r>
    </w:p>
    <w:p>
      <w:pPr>
        <w:spacing w:after="0" w:line="80" w:lineRule="exact"/>
        <w:rPr>
          <w:sz w:val="20"/>
          <w:szCs w:val="20"/>
          <w:color w:val="auto"/>
        </w:rPr>
      </w:pPr>
    </w:p>
    <w:p>
      <w:pPr>
        <w:ind w:left="300" w:right="839"/>
        <w:spacing w:after="0" w:line="284" w:lineRule="auto"/>
        <w:rPr>
          <w:sz w:val="20"/>
          <w:szCs w:val="20"/>
          <w:color w:val="auto"/>
        </w:rPr>
      </w:pPr>
      <w:r>
        <w:rPr>
          <w:rFonts w:ascii="Times New Roman" w:cs="Times New Roman" w:eastAsia="Times New Roman" w:hAnsi="Times New Roman"/>
          <w:sz w:val="18"/>
          <w:szCs w:val="18"/>
          <w:i w:val="1"/>
          <w:iCs w:val="1"/>
          <w:color w:val="auto"/>
        </w:rPr>
        <w:t>Supervisory board members’ voting powers on proposals, arrangements or contracts in which any member is materially interested (Article 19 of the By-laws)</w:t>
      </w:r>
    </w:p>
    <w:p>
      <w:pPr>
        <w:spacing w:after="0" w:line="52"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Under French law, any agreement entered into (directly or through an intermediary) between us and any member of our supervisory board that is not entered into (1) in the ordinary course of business and (2) under standard terms and conditions is subject to the prior authorization of the supervisory board, excluding the vote of the interested member.</w:t>
      </w:r>
    </w:p>
    <w:p>
      <w:pPr>
        <w:spacing w:after="0" w:line="50" w:lineRule="exact"/>
        <w:rPr>
          <w:sz w:val="20"/>
          <w:szCs w:val="20"/>
          <w:color w:val="auto"/>
        </w:rPr>
      </w:pPr>
    </w:p>
    <w:p>
      <w:pPr>
        <w:ind w:left="300" w:right="1079"/>
        <w:spacing w:after="0" w:line="312" w:lineRule="auto"/>
        <w:rPr>
          <w:sz w:val="20"/>
          <w:szCs w:val="20"/>
          <w:color w:val="auto"/>
        </w:rPr>
      </w:pPr>
      <w:r>
        <w:rPr>
          <w:rFonts w:ascii="Times New Roman" w:cs="Times New Roman" w:eastAsia="Times New Roman" w:hAnsi="Times New Roman"/>
          <w:sz w:val="17"/>
          <w:szCs w:val="17"/>
          <w:color w:val="auto"/>
        </w:rPr>
        <w:t>The foregoing requirements also apply to agreements between us and any member of our executive board, agreements between us and another company, provided that the company is not one of our wholly-owned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subsidiaries, if one of the members of our executive or supervisory board is the owner or a general partner, manager, director, general manager or member of the executive or supervisory board of the other company, as well as to agreements in which one of the members of our executive or supervisory board has an indirect interest.</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Supervisory board’s borrowing powers</w:t>
      </w:r>
    </w:p>
    <w:p>
      <w:pPr>
        <w:spacing w:after="0" w:line="119" w:lineRule="exact"/>
        <w:rPr>
          <w:sz w:val="20"/>
          <w:szCs w:val="20"/>
          <w:color w:val="auto"/>
        </w:rPr>
      </w:pPr>
    </w:p>
    <w:p>
      <w:pPr>
        <w:ind w:left="300" w:right="1039"/>
        <w:spacing w:after="0" w:line="282" w:lineRule="auto"/>
        <w:rPr>
          <w:sz w:val="20"/>
          <w:szCs w:val="20"/>
          <w:color w:val="auto"/>
        </w:rPr>
      </w:pPr>
      <w:r>
        <w:rPr>
          <w:rFonts w:ascii="Times New Roman" w:cs="Times New Roman" w:eastAsia="Times New Roman" w:hAnsi="Times New Roman"/>
          <w:sz w:val="18"/>
          <w:szCs w:val="18"/>
          <w:color w:val="auto"/>
        </w:rPr>
        <w:t>There are currently no limits imposed by our By-laws on the amounts of loans or other borrowings that the supervisory board may approve.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Supervisory board’s composition (Article 15 of the By-laws)</w:t>
      </w:r>
    </w:p>
    <w:p>
      <w:pPr>
        <w:spacing w:after="0" w:line="119"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Our supervisory board must be composed of at least three members, but may not exceed 18 members. Members of the supervisory board are appointed and have their terms renewed or are dismissed at the ordinary general meeting. Supervisory board members may be natural persons or legal entities. Legal entities appointed to the supervisory board must designate a permanent representative. If a supervisory board member dies or resigns between annual meetings, the supervisory board may appoint a temporary member to fill the vacancy, subject to ratification at the next ordinary general meeting, or if such vacancy results in a number of supervisory members below three, the executive board must call an ordinary general meeting in order to fill the vacancy.</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Supervisory board members’ age limits (Article 15 of the By-laws)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 more than one-third of the supervisory board members shall be older than 80 years old.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 of supervisory board member office (Article 15 of the By-laws)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Supervisory board members are elected for six-year terms.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 supervisory board member limits (Article 15 of the By-laws)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 more than one-third of the supervisory board members may be party to employment contracts with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Supervisory board members’ share ownership requirements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Board</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Quorum and voting (Article 13 of the By-laws)</w:t>
      </w:r>
    </w:p>
    <w:p>
      <w:pPr>
        <w:spacing w:after="0" w:line="11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No quorum is required for the executive board to deliberate. The executive board members are not allowed to grant a proxy to represent them at a meeting of the executive board. Decisions of the executive board are adopted by the majority of the voting rights held by the members present, it being specified that in case of a vote-split, the chairman of the executive board shall not have the deciding vote.</w:t>
      </w:r>
    </w:p>
    <w:p>
      <w:pPr>
        <w:spacing w:after="0" w:line="178" w:lineRule="exact"/>
        <w:rPr>
          <w:sz w:val="20"/>
          <w:szCs w:val="20"/>
          <w:color w:val="auto"/>
        </w:rPr>
      </w:pPr>
    </w:p>
    <w:p>
      <w:pPr>
        <w:ind w:left="300" w:right="1019"/>
        <w:spacing w:after="0" w:line="284" w:lineRule="auto"/>
        <w:rPr>
          <w:sz w:val="20"/>
          <w:szCs w:val="20"/>
          <w:color w:val="auto"/>
        </w:rPr>
      </w:pPr>
      <w:r>
        <w:rPr>
          <w:rFonts w:ascii="Times New Roman" w:cs="Times New Roman" w:eastAsia="Times New Roman" w:hAnsi="Times New Roman"/>
          <w:sz w:val="18"/>
          <w:szCs w:val="18"/>
          <w:i w:val="1"/>
          <w:iCs w:val="1"/>
          <w:color w:val="auto"/>
        </w:rPr>
        <w:t>Executive board members’ voting powers on proposals, arrangements or contracts in which any member is materially interested</w:t>
      </w:r>
    </w:p>
    <w:p>
      <w:pPr>
        <w:spacing w:after="0" w:line="52"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See the paragraph “—Supervisory board members’ voting powers on proposals, arrangements or contracts in which any member is materially interested.”</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board members’ compensation</w:t>
      </w:r>
    </w:p>
    <w:p>
      <w:pPr>
        <w:spacing w:after="0" w:line="11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The supervisory board determines each executive board member’s compensation when appointing him or her to the executive board. Executive board members who are employed by us receive separate compensation as officers or employees.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board’s borrowing powers (Article 14 of the By-laws)</w:t>
      </w:r>
    </w:p>
    <w:p>
      <w:pPr>
        <w:spacing w:after="0" w:line="11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There are currently no limits imposed by our By-laws on the amounts of loans or other borrowings that the executive board may execute.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board’s composition (Article 11 of the By-laws)</w:t>
      </w:r>
    </w:p>
    <w:p>
      <w:pPr>
        <w:spacing w:after="0" w:line="11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Our executive board must be composed of at least two members, but may not exceed seven members. Members of the executive board are appointed and their terms are renewed by the supervisory board. Executive board members may be dismissed at the ordinary general meeting and by the supervisory board. In the case of a vacancy between annual meetings, the supervisory board must within a two-month period appoint a temporary member to fill the vacancy or must change the number of executive board members.</w:t>
      </w:r>
    </w:p>
    <w:p>
      <w:pPr>
        <w:spacing w:after="0" w:line="316" w:lineRule="exact"/>
        <w:rPr>
          <w:sz w:val="20"/>
          <w:szCs w:val="20"/>
          <w:color w:val="auto"/>
        </w:rPr>
      </w:pPr>
    </w:p>
    <w:p>
      <w:pPr>
        <w:ind w:left="300" w:right="3859"/>
        <w:spacing w:after="0" w:line="464" w:lineRule="auto"/>
        <w:rPr>
          <w:sz w:val="20"/>
          <w:szCs w:val="20"/>
          <w:color w:val="auto"/>
        </w:rPr>
      </w:pPr>
      <w:r>
        <w:rPr>
          <w:rFonts w:ascii="Times New Roman" w:cs="Times New Roman" w:eastAsia="Times New Roman" w:hAnsi="Times New Roman"/>
          <w:sz w:val="17"/>
          <w:szCs w:val="17"/>
          <w:i w:val="1"/>
          <w:iCs w:val="1"/>
          <w:color w:val="auto"/>
        </w:rPr>
        <w:t xml:space="preserve">Executive board members’ age limits (Article 11 of the By-laws) </w:t>
      </w:r>
      <w:r>
        <w:rPr>
          <w:rFonts w:ascii="Times New Roman" w:cs="Times New Roman" w:eastAsia="Times New Roman" w:hAnsi="Times New Roman"/>
          <w:sz w:val="17"/>
          <w:szCs w:val="17"/>
          <w:color w:val="auto"/>
        </w:rPr>
        <w:t>No member of our executive board shall be more than 65 years old.</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 of executive board member office (Article 11 of the By-laws)</w:t>
      </w:r>
    </w:p>
    <w:p>
      <w:pPr>
        <w:spacing w:after="0" w:line="11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The executive board, as a whole, is elected for a four-year term and the term of office of each executive board member shall expire on the same date.</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 executive board member limits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member can only work as an employee if his or her contract corresponds to an actual position.</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board members’ share ownership requirements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ind w:left="300" w:right="3779"/>
        <w:spacing w:after="0" w:line="3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Preferences and Restrictions Attaching to Ordinary Shares </w:t>
      </w:r>
      <w:r>
        <w:rPr>
          <w:rFonts w:ascii="Times New Roman" w:cs="Times New Roman" w:eastAsia="Times New Roman" w:hAnsi="Times New Roman"/>
          <w:sz w:val="18"/>
          <w:szCs w:val="18"/>
          <w:i w:val="1"/>
          <w:iCs w:val="1"/>
          <w:color w:val="auto"/>
        </w:rPr>
        <w:t>Dividends (Articles 24 and 25 of the By-laws)</w:t>
      </w:r>
    </w:p>
    <w:p>
      <w:pPr>
        <w:spacing w:after="0" w:line="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We may only distribute dividends out of our “distributable profits,” plus any amounts held in our reserves that the shareholders decide to make available for distribution, other than those reserves that are specifically required to be maintained by law. “Distributable profits” consist of our statutory net profit in each fiscal year, calculated in accordance with accounting standards applicable in France, as increased or reduced by any profit or loss carried forward from prior years, less any contributions to the reserve accounts pursuant to French law (see below in the paragraph “—Legal Reserve”).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Legal Reserve (Article 24 of the By-laws)</w:t>
      </w:r>
    </w:p>
    <w:p>
      <w:pPr>
        <w:spacing w:after="0" w:line="11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Pursuant to French law, we must allocate at least 5% of our statutory net profit for each year to our legal reserve fund before dividends may be paid with respect to that year. Such allocation is compulsory until the amount in the legal reserve is equal to 10% of the aggregate par value of our issued and outstanding share capital.</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Approval of Dividends (Article 25 of the By-laws)</w:t>
      </w:r>
    </w:p>
    <w:p>
      <w:pPr>
        <w:spacing w:after="0" w:line="11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Pursuant to French law, our executive board may propose a dividend for approval by the shareholders at the annual ordinary general meeting.</w:t>
      </w:r>
    </w:p>
    <w:p>
      <w:pPr>
        <w:spacing w:after="0" w:line="54"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Upon recommendation of our executive board, our shareholders may decide to allocate all or part of any distributable profits to special or general reserves, to carry them forward to the next fiscal year as retained earnings or to allocate them to the shareholders as dividends. However, dividends may not be distributed when as a result of such distribution our net assets are or would become lower than the amount of the share capital plus the amount of the legal reserves which, under French law, may not be distributed to shareholders.</w:t>
      </w:r>
    </w:p>
    <w:p>
      <w:pPr>
        <w:spacing w:after="0" w:line="75"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Our executive board may distribute interim dividends after the end of the fiscal year but before the approval of the financial statements for the relevant fiscal year when the interim balance sheet, established during such year and certified by an auditor, reflects that we have earned distributable profits since the close of the last fiscal year, after recognizing the necessary depreciation and provisions and after deducting prior losses, if any, and the sums to be allocated to reserves, as required by law or the By-laws, and including any retained earnings. The amount of such interim dividends may not exceed the amount of the profit so defined.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Distribution of Dividends (Article 25 of the By-laws)</w:t>
      </w:r>
    </w:p>
    <w:p>
      <w:pPr>
        <w:spacing w:after="0" w:line="11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Dividends are distributed to shareholders proportionally to their shareholding interests. In the case of interim dividends, distributions are made to shareholders on the date set by our executive board during the meeting in which the distribution of interim dividends is approved. The actual dividend payment date is decided by the shareholders at an ordinary general shareholders’ meeting or by our executive board in the absence of such a decision by the shareholders. Shareholders that own shares on the actual payment date are entitled to the dividend.</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Dividends may be paid in cash or, if the shareholders’ meeting so decides, in kind, provided that all the shareholders receive a whole number of assets of the same nature paid in lieu of cash. Our By-laws provide that, subject to a decision of the shareholders’ meeting taken by ordinary resolution, each shareholder may be given the choice to receive his dividend in cash or in shares.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Timing of Payment (Article 25 of the By-laws)</w:t>
      </w:r>
    </w:p>
    <w:p>
      <w:pPr>
        <w:spacing w:after="0" w:line="11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Pursuant to French law, dividends must be paid within a maximum period of nine months following the end of the relevant fiscal year. An extension of such timeframe may be granted by court order. Dividends that are not claimed within a period of five years after the decision to distribute such dividends will be deemed to expire and revert to the French state.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 (Article 9 of the By-laws)</w:t>
      </w:r>
    </w:p>
    <w:p>
      <w:pPr>
        <w:spacing w:after="0" w:line="11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Each of our ordinary shares entitles its holder to vote and be represented in the shareholders’ meetings in accordance with French law and our By-laws. The ownership of a share implies,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the acceptance of our By-laws and any decision of our shareholders.</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In general, each shareholder is entitled to one vote per share at any general shareholders’ meeting. The company’s major shareholders do not have different voting rights than other shareholders of the company. However, pursuant to French law, a double voting right is attached to each registered share, which is held in the name of the same shareholder for at least two years. However, ADSs are not eligible for double voting rights. Holders of ADSs or ordinary shares are unlikely to meet the requirements to have double voting rights attach to any ordinary shares held by them.</w:t>
      </w:r>
    </w:p>
    <w:p>
      <w:pPr>
        <w:spacing w:after="0" w:line="7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Under French law, treasury shares or shares held by entities controlled by us are not entitled to voting rights and are not taken into account for purposes of quorum calculation.</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to Share in Our Profit (Article 9 of the By-laws)</w:t>
      </w:r>
    </w:p>
    <w:p>
      <w:pPr>
        <w:spacing w:after="0" w:line="11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Under French law, each ordinary share entitles its holder to a portion of the corporate profits and assets proportional to the amount of share capital represented thereby.</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to Share in the Surplus in the Event of Liquidation (Articles 9 and 30 of the By-laws)</w:t>
      </w:r>
    </w:p>
    <w:p>
      <w:pPr>
        <w:spacing w:after="0" w:line="11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If we are liquidated, any assets remaining after payment of our debts, liquidation expenses and all of our remaining obligations will first be used to repay in full the par value of our outstanding shares. Any surplus will then be distributed among shareholders in proportion to the number of our shares they hold.</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Repurchase and Redemption of Shares</w:t>
      </w:r>
    </w:p>
    <w:p>
      <w:pPr>
        <w:spacing w:after="0" w:line="11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Under French law, we may acquire our own shares. Such acquisition may be challenged on the ground of market abuse regulations. However, Market Abuse Regulation (EU) No. 596/2014 of April 16, 2014 and its related delegated regulations (“MAR”) provides for safe harbor exemptions when the acquisition is made (i) under a buy-back program to be authorized by the shareholders in accordance with the provisions of Article L. 22-10-62 of the French Commercial Code and with the General Regulations of the French Financial Markets Authority (</w:t>
      </w:r>
      <w:r>
        <w:rPr>
          <w:rFonts w:ascii="Times New Roman" w:cs="Times New Roman" w:eastAsia="Times New Roman" w:hAnsi="Times New Roman"/>
          <w:sz w:val="18"/>
          <w:szCs w:val="18"/>
          <w:i w:val="1"/>
          <w:iCs w:val="1"/>
          <w:color w:val="auto"/>
        </w:rPr>
        <w:t>Autorité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marchés financiers</w:t>
      </w:r>
      <w:r>
        <w:rPr>
          <w:rFonts w:ascii="Times New Roman" w:cs="Times New Roman" w:eastAsia="Times New Roman" w:hAnsi="Times New Roman"/>
          <w:sz w:val="18"/>
          <w:szCs w:val="18"/>
          <w:color w:val="auto"/>
        </w:rPr>
        <w:t>, or “AMF”) and</w:t>
      </w:r>
    </w:p>
    <w:p>
      <w:pPr>
        <w:spacing w:after="0" w:line="79"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of the following purposes which shall be provided for in the buy-back program: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decrease our share capital, provided that such a decision is not driven by losses and that a purchase offer is made to all shareholders on a pro rata basis, with the approval of the shareholders at an extraordinary general meeting; in this case, the shares repurchased must be cancelled within one month from their repurchase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obligations arising from debt securities that are exchangeable into shares; or</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our obligations arising from share option programs, or other allocations of shares, to our employees or to our managers or the employees or managers of our affiliate. In this case the shares repurchased must be distributed within 12 months from their repurchase, after which they must be cancelled.</w:t>
      </w:r>
    </w:p>
    <w:p>
      <w:pPr>
        <w:spacing w:after="0" w:line="72"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In addition, we benefit from a simple exemption when the acquisition is made under a liquidity contract complying with the general regulations of, and market practices accepted by, the AMF.</w:t>
      </w:r>
    </w:p>
    <w:p>
      <w:pPr>
        <w:spacing w:after="0" w:line="54"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6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Under MAR and in accordance with the General Regulations of the AMF, we shall report to the AMF, no later than by the end of the seventh daily market session following the date of the execution of the transaction, all the transactions relating to the buy-back program in a detailed form and in an aggregated form. In addition, we shall provide to the AMF, on a monthly basis, and to the public, on a biannual basis, a summary report of the transactions made under a liquidity contract.</w:t>
      </w:r>
    </w:p>
    <w:p>
      <w:pPr>
        <w:spacing w:after="0" w:line="75"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In any case, no such repurchase of shares may result in us holding, directly or through a person acting on our behalf, more than (i) 10% of our issued share capital, or (ii) 5% of our issued share capital in case of repurchase of shares to be used in payment or in exchange in the context of a merger, division or transfer of assets.</w:t>
      </w:r>
    </w:p>
    <w:p>
      <w:pPr>
        <w:spacing w:after="0" w:line="68"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Shares repurchased by us continue to be deemed “issued” under French law but are not entitled to dividends and/or voting rights so long as we hold them directly or indirectly, and we may not exercise the preferential subscription rights attached to them.</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Sinking Fund Provisions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By-laws do not provide for any sinking fund provisions.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Liability to Further Capital Calls</w:t>
      </w:r>
    </w:p>
    <w:p>
      <w:pPr>
        <w:spacing w:after="0" w:line="11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Shareholders are liable for corporate liabilities only up to the par value of the shares they hold; they are not liable for further capital calls.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Requirements for Holdings Exceeding Certain Percentages</w:t>
      </w:r>
    </w:p>
    <w:p>
      <w:pPr>
        <w:spacing w:after="0" w:line="119"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There are no such requirements, except as described in “—Form, Holding and Transfer of Shares—Ownership of Shares and ADSs by Non-French Persons.”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Actions Necessary to Modify Shareholders’ Rights</w:t>
      </w:r>
    </w:p>
    <w:p>
      <w:pPr>
        <w:spacing w:after="0" w:line="12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Shareholders’ rights may be modified as permitted by French law. Only the extraordinary shareholders’ meeting is authorized to amend any and all provisions of our By-laws. It may not, however, increase any of the shareholders’ commitments without the prior approval of each shareholder.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Voting Rights of Warrant Holders</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Under French law, the holders of warrants of the same class (i.e., warrants that were issued at the same time and with the same rights), including founders’ warrants (BSPCE) and warrants (BSA),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179" w:lineRule="exact"/>
        <w:rPr>
          <w:sz w:val="20"/>
          <w:szCs w:val="20"/>
          <w:color w:val="auto"/>
        </w:rPr>
      </w:pPr>
    </w:p>
    <w:p>
      <w:pPr>
        <w:ind w:left="300" w:right="439"/>
        <w:spacing w:after="0" w:line="3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Rules for Admission to and Calling Annual Shareholders’ Meetings and Extraordinary Shareholders’ Meetings </w:t>
      </w:r>
      <w:r>
        <w:rPr>
          <w:rFonts w:ascii="Times New Roman" w:cs="Times New Roman" w:eastAsia="Times New Roman" w:hAnsi="Times New Roman"/>
          <w:sz w:val="18"/>
          <w:szCs w:val="18"/>
          <w:i w:val="1"/>
          <w:iCs w:val="1"/>
          <w:color w:val="auto"/>
        </w:rPr>
        <w:t>Access to, Participation in and Voting Rights at Shareholders’ Meetings (Article 22 of the By-laws)</w:t>
      </w:r>
    </w:p>
    <w:p>
      <w:pPr>
        <w:spacing w:after="0" w:line="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right to participate in a shareholders’ meeting is granted to all shareholders, regardless of the number of shares they hold, whose shares are paid up or for whom a right to attend a shareholders’ meetings is established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by registration of the shares in an account in the name of the shareholder or the intermediary registered on his or her behalf, on the second business day prior to the shareholders’ meeting, at midnight (Paris time), either in the registered share accounts held by us, or in the bearer share accounts held by the authorized intermediary.</w:t>
      </w:r>
    </w:p>
    <w:p>
      <w:pPr>
        <w:spacing w:after="0" w:line="68"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Each shareholder has the right to attend the meetings, participate in the discussions and vote (1) in person, (2) by granting a proxy to his/her spouse, his/her partner with whom he/she has entered into a civil union or to another shareholder or to any person for legal entities, (3) by sending a proxy to us without indication of the beneficiary (in which case such proxy shall be cast in favor of the resolutions supported by the executive board), or (4) by correspondence. In addition, shareholders may attend meetings by videoconference or another means of telecommunication if so decided by the executive board in the shareholders’ meeting convening notice.</w:t>
      </w:r>
    </w:p>
    <w:p>
      <w:pPr>
        <w:spacing w:after="0" w:line="7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Shareholders may, in accordance with legal and regulatory requirements, send their vote or proxy, either by hard copy or via telecommunications means. The final date for returning such vote or proxy is set by the executive board and disclosed in the notice of meeting published in the French Journal of Mandatory Statutory Notices (</w:t>
      </w:r>
      <w:r>
        <w:rPr>
          <w:rFonts w:ascii="Times New Roman" w:cs="Times New Roman" w:eastAsia="Times New Roman" w:hAnsi="Times New Roman"/>
          <w:sz w:val="18"/>
          <w:szCs w:val="18"/>
          <w:i w:val="1"/>
          <w:iCs w:val="1"/>
          <w:color w:val="auto"/>
        </w:rPr>
        <w:t>Bulletin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Annonces Légales Obligatoires</w:t>
      </w:r>
      <w:r>
        <w:rPr>
          <w:rFonts w:ascii="Times New Roman" w:cs="Times New Roman" w:eastAsia="Times New Roman" w:hAnsi="Times New Roman"/>
          <w:sz w:val="18"/>
          <w:szCs w:val="18"/>
          <w:color w:val="auto"/>
        </w:rPr>
        <w:t>, or “BALO”). This date cannot be earlier than (1) at least three days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the case of hard copies, (2) by 3:00 p.m. (Paris time) on the day before the meeting, in the case of, electronic votes by email and (3) by 3:00 p.m. (Paris time) on the day before the meeting, in the case of electronic proxies.</w:t>
      </w:r>
    </w:p>
    <w:p>
      <w:pPr>
        <w:spacing w:after="0" w:line="81" w:lineRule="exact"/>
        <w:rPr>
          <w:sz w:val="20"/>
          <w:szCs w:val="20"/>
          <w:color w:val="auto"/>
        </w:rPr>
      </w:pPr>
    </w:p>
    <w:p>
      <w:pPr>
        <w:jc w:val="both"/>
        <w:ind w:left="300" w:right="739"/>
        <w:spacing w:after="0" w:line="266" w:lineRule="auto"/>
        <w:rPr>
          <w:sz w:val="20"/>
          <w:szCs w:val="20"/>
          <w:color w:val="auto"/>
        </w:rPr>
      </w:pPr>
      <w:r>
        <w:rPr>
          <w:rFonts w:ascii="Times New Roman" w:cs="Times New Roman" w:eastAsia="Times New Roman" w:hAnsi="Times New Roman"/>
          <w:sz w:val="18"/>
          <w:szCs w:val="18"/>
          <w:color w:val="auto"/>
        </w:rPr>
        <w:t>Shareholders sending their vote within the applicable time limit, using the form provided to them by us for this purpose, are deemed present or represented at the shareholders’ meeting for purposes of quorum and majority calculation.</w:t>
      </w:r>
    </w:p>
    <w:p>
      <w:pPr>
        <w:spacing w:after="0" w:line="68"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The voting by correspondence form addressed to a shareholder is only valid for a single meeting or for successive meetings convened with the same agenda. It can also be granted for two (2) meetings, one ordinary, the other extraordinary, held within a period of fifteen (15) days.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Notice of Annual Shareholders’ Meetings</w:t>
      </w:r>
    </w:p>
    <w:p>
      <w:pPr>
        <w:spacing w:after="0" w:line="11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Shareholders’ meetings are convened by our executive board, or, failing that, by our supervisory board, our statutory auditors, by a court appointed agent or liquidator in certain circumstances, or by the majority shareholder in capital or voting rights following a change in control. Meetings are held at our registered offices or at any other location indicated in the convening notice.</w:t>
      </w:r>
    </w:p>
    <w:p>
      <w:pPr>
        <w:spacing w:after="0" w:line="7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 first convening notice (</w:t>
      </w:r>
      <w:r>
        <w:rPr>
          <w:rFonts w:ascii="Times New Roman" w:cs="Times New Roman" w:eastAsia="Times New Roman" w:hAnsi="Times New Roman"/>
          <w:sz w:val="18"/>
          <w:szCs w:val="18"/>
          <w:i w:val="1"/>
          <w:iCs w:val="1"/>
          <w:color w:val="auto"/>
        </w:rPr>
        <w:t>avis de réunion</w:t>
      </w:r>
      <w:r>
        <w:rPr>
          <w:rFonts w:ascii="Times New Roman" w:cs="Times New Roman" w:eastAsia="Times New Roman" w:hAnsi="Times New Roman"/>
          <w:sz w:val="18"/>
          <w:szCs w:val="18"/>
          <w:color w:val="auto"/>
        </w:rPr>
        <w:t>) must be published in the BALO at least 35 days prior to the meeting as well as on our website at least 21 days prior to the meeting. The convening notice must include the meeting’s agenda and the draft resolutions that will be presented at the meeting. A request to include any issues or draft resolutions in the agenda must be addressed to the company in accordance with French law.</w:t>
      </w:r>
    </w:p>
    <w:p>
      <w:pPr>
        <w:spacing w:after="0" w:line="7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special legal provisions provided by French law, the convening notice (</w:t>
      </w:r>
      <w:r>
        <w:rPr>
          <w:rFonts w:ascii="Times New Roman" w:cs="Times New Roman" w:eastAsia="Times New Roman" w:hAnsi="Times New Roman"/>
          <w:sz w:val="18"/>
          <w:szCs w:val="18"/>
          <w:i w:val="1"/>
          <w:iCs w:val="1"/>
          <w:color w:val="auto"/>
        </w:rPr>
        <w:t>avis de convocation</w:t>
      </w:r>
      <w:r>
        <w:rPr>
          <w:rFonts w:ascii="Times New Roman" w:cs="Times New Roman" w:eastAsia="Times New Roman" w:hAnsi="Times New Roman"/>
          <w:sz w:val="18"/>
          <w:szCs w:val="18"/>
          <w:color w:val="auto"/>
        </w:rPr>
        <w:t>) must be given at least 15 days before the date of the meeting, by means of a notice inserted in the French BALO and a legal announcement bulletin of the registered office department of the Company. Further, holders of registered shares for at least a month at the time of the latest insertion of the notices shall be summoned individually, by regular letter or by registered letter if the shareholders so request and include an advance of expenses, sent to their last known address. This notice to registered shareholders may also be transmitted by electronic means of telecommunication, in lieu of any such mailing, to any relevant shareholder requesting it beforehand either by post or by electronic means in accordance with legal and regulatory requirements, specifying his e-mail address. A shareholder may request, at any time, either by post or by electronic means that electronic means of telecommunication is no longer acceptable and should be replaced by a mailing.</w:t>
      </w:r>
    </w:p>
    <w:p>
      <w:pPr>
        <w:spacing w:after="0" w:line="7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convening notice must also include the conditions under which shareholders may vote by correspondence and how they can obtain voting forms by mail.</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When the shareholders’ meeting cannot deliberate due to quorum not being met, the second meeting must be called at least 10 days in advance and in the same manner as the first notice.</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Agenda and Conduct of Annual Shareholders’ Meetings (Article 22 of the By-laws)</w:t>
      </w:r>
    </w:p>
    <w:p>
      <w:pPr>
        <w:spacing w:after="0" w:line="11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agenda of the shareholders’ meeting shall appear in the convening notice of the meeting and is set by the author of the notice. The shareholders’ meeting may only deliberate on the items on the agenda except for the removal of members of our supervisory board and the appointment of their successors, which may be put to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by any shareholder during any shareholders’ meeting. One or more shareholders representing the percentage of share capital required by French law (currently circa 3.58% of our share capital), and acting in accordance with legal requirements and within applicable time limits, may request the inclusion of items or proposed resolutions on the agenda. Such request must be received no later than 25 days before the shareholders’ meeting, and in any event no later than 20 days after the announcement of the shareholders’ meeting.</w:t>
      </w:r>
    </w:p>
    <w:p>
      <w:pPr>
        <w:spacing w:after="0" w:line="75"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Shareholders’ meetings are chaired by the chairman of the supervisory board or, in his or her absence, by the vice president of the supervisory board. Failing that, the meeting itself will elect a chairman. Vote counting is performed by the two members of the meeting who are present and accept such duties, who represent, either on their own behalf or as proxies, the greatest number of votes.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Ordinary Shareholders’ Meeting (Article 22 of the By-laws)</w:t>
      </w:r>
    </w:p>
    <w:p>
      <w:pPr>
        <w:spacing w:after="0" w:line="11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Ordinary shareholders’ meetings are those meetings called to make any and all decisions that do not result in a modification of our By-laws. In addition, pursuant to an AMF recommendation dated June 15, 2015, French listed companies may be required to conduct a consultation of the ordinary shareholders’ meeting prior to the disposal of the majority of their assets, under certain circumstances.</w:t>
      </w:r>
    </w:p>
    <w:p>
      <w:pPr>
        <w:spacing w:after="0" w:line="72"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An ordinary shareholders’ meeting shall be convened at least once a year within six months of the end of each fiscal year in order to approve the annual and consolidated accounts for the relevant fiscal year or, in case of postponement, within the period established by court order. Upon first notice, the meeting may validly deliberate only if the shareholders present, represented by proxy or voting by mail represent at least one-fifth of the</w:t>
      </w:r>
    </w:p>
    <w:p>
      <w:pPr>
        <w:ind w:left="300"/>
        <w:spacing w:after="0"/>
        <w:rPr>
          <w:sz w:val="20"/>
          <w:szCs w:val="20"/>
          <w:color w:val="auto"/>
        </w:rPr>
      </w:pPr>
      <w:r>
        <w:rPr>
          <w:rFonts w:ascii="Times New Roman" w:cs="Times New Roman" w:eastAsia="Times New Roman" w:hAnsi="Times New Roman"/>
          <w:sz w:val="18"/>
          <w:szCs w:val="18"/>
          <w:color w:val="auto"/>
        </w:rPr>
        <w:t>shares entitled to vote. Upon second notice, no quorum is required. This differs from Nasdaq rules that require 33</w:t>
      </w:r>
    </w:p>
    <w:p>
      <w:pPr>
        <w:jc w:val="both"/>
        <w:ind w:left="300" w:right="339"/>
        <w:spacing w:after="0" w:line="211"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shareholders be present at a meeting. Decisions are made by a majority of the votes cast by the shareholders present, represented by proxy, or voting by mail. The votes cast do not include those attached to shares for which the shareholder did not participate in the vote, abstained, voted blank or the vote is otherwise void.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Extraordinary Shareholders’ Meeting (Article 22 of the By-laws)</w:t>
      </w:r>
    </w:p>
    <w:p>
      <w:pPr>
        <w:spacing w:after="0" w:line="11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Only an extraordinary shareholders’ meeting is authorized to amend our By-laws. It may not, however, increase shareholders’ commitments without the approval of each shareholder. Subject to the legal provisions governing share capital increases from reserves, profits or share premiums, the resolutions of the extraordinary meeting will be valid only if the shareholders present, represented by proxy or voting by mail represent at least one-fourth of all shares entitled to vote upon first notice, or one-fifth upon second notice. If the latter quorum is not reached, the second meeting may be postponed to a date no later than two months after the date for which it was initially called. Decisions are made by a two-thirds majority vote cast by the shareholders present, represented by proxy, or voting by mail. The votes cast do not include those attached to shares for which the shareholder did not participate in the vote, abstained, voted blank or the vote is otherwise void.</w:t>
      </w:r>
    </w:p>
    <w:p>
      <w:pPr>
        <w:spacing w:after="0" w:line="8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addition to the right to obtain certain information regarding us at any time, any shareholder may, from the date on which a shareholders’ meeting is convened until the fourth business day preceding the date of the shareholders’ meeting, submit written questions relating to the agenda for the meeting to our executive board. Our executive board is required to respond to these questions during the meeting.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Provisions Having the Effect of Delaying, Deferring or Preventing a Change in Control of the Company</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Provisions contained in our By-laws and the corporate laws of France could make it more difficult for a third-party to acquire us, even if doing so might be beneficial to our shareholders. In addition, provisions of French law and our By-laws impose various procedural and other requirements, which could make it more difficult for shareholders to effect certain corporate actions. These provisions include the following:</w:t>
      </w:r>
    </w:p>
    <w:p>
      <w:pPr>
        <w:spacing w:after="0" w:line="72" w:lineRule="exact"/>
        <w:rPr>
          <w:sz w:val="20"/>
          <w:szCs w:val="20"/>
          <w:color w:val="auto"/>
        </w:rPr>
      </w:pPr>
    </w:p>
    <w:p>
      <w:pPr>
        <w:ind w:left="1000" w:right="35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French law allowing the owner of 90% of the share capital or voting rights of a public company to force out the minority shareholders following a tender offer made to all shareholders are only applicable to companies listed on a regulated market or a multilateral trading facility in a Member State of the EU or in a state party of the European Economic Area Agreement, including the main French stock exchange, and will therefore be applicable to us only if we continue to dual-list in France;</w:t>
      </w:r>
    </w:p>
    <w:p>
      <w:pPr>
        <w:spacing w:after="0" w:line="75"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(i.e., in a French law context, a stock-for-stock exchange after which our Company would be dissolved without being liquidated into the acquiring entity and our shareholders would become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839"/>
        <w:spacing w:after="0" w:line="266" w:lineRule="auto"/>
        <w:rPr>
          <w:sz w:val="20"/>
          <w:szCs w:val="20"/>
          <w:color w:val="auto"/>
        </w:rPr>
      </w:pPr>
      <w:r>
        <w:rPr>
          <w:rFonts w:ascii="Times New Roman" w:cs="Times New Roman" w:eastAsia="Times New Roman" w:hAnsi="Times New Roman"/>
          <w:sz w:val="18"/>
          <w:szCs w:val="18"/>
          <w:color w:val="auto"/>
        </w:rPr>
        <w:t>shareholders of the acquiring entity) of our Company into a company incorporated in the EU would require the approval of our executive board as well as a two-thirds majority of the votes cast by the shareholders present, represented by proxy or voting by mail at the relevant meeting;</w:t>
      </w:r>
    </w:p>
    <w:p>
      <w:pPr>
        <w:spacing w:after="0" w:line="68" w:lineRule="exact"/>
        <w:rPr>
          <w:sz w:val="20"/>
          <w:szCs w:val="20"/>
          <w:color w:val="auto"/>
        </w:rPr>
      </w:pPr>
    </w:p>
    <w:p>
      <w:pPr>
        <w:ind w:left="1000" w:right="5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our Company into a company incorporated outside of the EU would require the unanimous approval of our shareholders;</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French law, a cash merger is treated as a share purchase and would require the consent of each participating shareholder;</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have granted and may grant in the future to our executive board broad authorizations to increase our share capital or to issue additional ordinary shares or other securities (for example, warrants) to our shareholders, the public or qualified investors, including as a possible defense following the launching of a tender offer for our shares;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have preferential subscription rights proportional to their shareholding in our Company on the issuance by us of any additional shares or securities giving right, immediately or in the future, to new shares for cash or a set-off of cash debts, which rights may only be waived by the extraordinary shareholders’ general meeting (by a two-thirds majority vote) of our shareholders or on an individual basis by each shareholder;</w:t>
      </w:r>
    </w:p>
    <w:p>
      <w:pPr>
        <w:spacing w:after="0" w:line="75"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supervisory board has the right to appoint new members to fill a vacancy created by the resignation or death of a member, subject to the approval by the shareholders of such appointment at the next shareholders’ meeting, which prevents shareholders from having the sole right to fill vacancies on our supervisory board;</w:t>
      </w:r>
    </w:p>
    <w:p>
      <w:pPr>
        <w:spacing w:after="0" w:line="71"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our executive board are appointed by our supervisory board and can be removed either by our supervisory board or at the shareholders’ general meeting;</w:t>
      </w:r>
    </w:p>
    <w:p>
      <w:pPr>
        <w:spacing w:after="0" w:line="53"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supervisory board can only be convened by its chairman, or by its vice-president or, on a reasoned request (e.g., when no board meeting has been held for more than two consecutive months), by</w:t>
      </w:r>
    </w:p>
    <w:p>
      <w:pPr>
        <w:spacing w:after="0" w:line="31" w:lineRule="exact"/>
        <w:rPr>
          <w:rFonts w:ascii="Times New Roman" w:cs="Times New Roman" w:eastAsia="Times New Roman" w:hAnsi="Times New Roman"/>
          <w:sz w:val="17"/>
          <w:szCs w:val="17"/>
          <w:color w:val="auto"/>
        </w:rPr>
      </w:pPr>
    </w:p>
    <w:p>
      <w:pPr>
        <w:ind w:left="1360" w:hanging="348"/>
        <w:spacing w:after="0"/>
        <w:tabs>
          <w:tab w:leader="none" w:pos="13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representing at least one-third of the total number of members of our supervisory board or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executive board;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supervisory board’s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are nominative or bearer, if the legislation so permits, according to the shareholder’s choice;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French law, (a) any non-French citizen, (b) any French citizen not residing in France, (c) any non-French entity or (d) any French entity controlled by one of the aforementioned persons or entities may have to file a declaration for statistical purposes with the Bank of France (Banque de France) within 20 business days following the date of certain direct foreign investment in us, including any purchase of our ADSs. In particular, such filings are required in connection with investments exceeding €15,000,000 that lead to the acquisition of at least 10% of our share capital or voting rights or cross such 10% threshold; see “—Form, Holding and Transfer of Shares—Ownership of Shares and ADSs by Non-French Persons”;</w:t>
      </w:r>
    </w:p>
    <w:p>
      <w:pPr>
        <w:spacing w:after="0" w:line="80" w:lineRule="exact"/>
        <w:rPr>
          <w:rFonts w:ascii="Times New Roman" w:cs="Times New Roman" w:eastAsia="Times New Roman" w:hAnsi="Times New Roman"/>
          <w:sz w:val="18"/>
          <w:szCs w:val="18"/>
          <w:color w:val="auto"/>
        </w:rPr>
      </w:pPr>
    </w:p>
    <w:p>
      <w:pPr>
        <w:ind w:left="1000" w:right="459" w:hanging="348"/>
        <w:spacing w:after="0" w:line="281"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French law, certain investments in any entity governed by a French law relating to certain strategic industries (such as research and development in biotechnologies and activities relating to public health) and activities by individuals or entities not French, not resident in France or controlled by entities not French or not resident in France are subject to prior authorization of the Ministry of Economy;</w:t>
      </w:r>
    </w:p>
    <w:p>
      <w:pPr>
        <w:spacing w:after="0" w:line="56" w:lineRule="exact"/>
        <w:rPr>
          <w:rFonts w:ascii="Times New Roman" w:cs="Times New Roman" w:eastAsia="Times New Roman" w:hAnsi="Times New Roman"/>
          <w:sz w:val="17"/>
          <w:szCs w:val="17"/>
          <w:color w:val="auto"/>
        </w:rPr>
      </w:pPr>
    </w:p>
    <w:p>
      <w:pPr>
        <w:ind w:left="1000" w:right="41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at least a majority of the votes held by shareholders present, represented by a proxy, or voting by mail at the relevant ordinary shareholders’ general meeting is required to remove members of the supervisory board with or without cause;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is required for nominations to the members of the supervisory board or for proposing matters to be acted upon at a shareholders’ meeting, except that a vote to remove and replace a member of our supervisory board can be proposed at any shareholders’ meeting without notice;</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French law, our By-laws, including the sections relating to the number of our supervisory board’s members and election and removal of a member of the supervisory board from office, may only be modified by a resolution adopted by a two-thirds majority vote of our shareholders present, represented by a proxy or voting by mail at the meeting;</w:t>
      </w:r>
    </w:p>
    <w:p>
      <w:pPr>
        <w:spacing w:after="0" w:line="71"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where certain ownership thresholds would be crossed, a number of disclosures should be made by the relevant shareholder and can impose certain obligations; see “—Declaration of Crossing of Ownership Thresholds”;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shall comply with applicable insider trading rules and regulations, and in particular with the MAR.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Crossing of Ownership Thresholds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Subject to requirements of French law, our By-laws do not require any specified disclosure by shareholders that cross ownership thresholds with respect to our share capital, except as described in “—Form, Holding and Transfer of Shares—Ownership of Shares and ADSs by Non-French Persons.”</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absence of specific requirements in our By-laws is without prejudice to the following disclosures which are applicable to us in accordance with French legal and regulatory provisions, it being understood that the following is a summary which is not intended to be a complete description of applicable rules under French law.</w:t>
      </w:r>
    </w:p>
    <w:p>
      <w:pPr>
        <w:spacing w:after="0" w:line="68"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Any individual or legal entity referred to in Articles L. 233-7, L. 233-9 and L. 233-10 of the French Commercial Code coming to directly or indirectly own, or cease to own, alone or in concert, a number of shares representing a fraction of our capital or voting rights greater or equal to 5%, 10%, 15%, 20%, 25%, 30%, 33.33%, 50%, 66.66%, 90% and 95% shall inform us as well as the AMF of the total number of shares and voting rights and of securities giving access to the capital or voting rights that it owns immediately or over time within a period of four trading days from the crossing of the said holding thresholds.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obligation also applies when crossing each of the above-mentioned thresholds in a downward direction.</w:t>
      </w:r>
    </w:p>
    <w:p>
      <w:pPr>
        <w:spacing w:after="0" w:line="117"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In case of failure to declare shares or voting rights exceeding the fraction that should have been declared, such shares shall be deprived of voting rights at shareholders’ meetings for any meeting that would be held until the expiry of a period of two years from the date of regularization of the notification in accordance with Article L. 233-14 of the French Commercial Code. Additional sanctions may apply pursuant to Article L. 621-15 of the French Monetary and Financial Code.</w:t>
      </w:r>
    </w:p>
    <w:p>
      <w:pPr>
        <w:spacing w:after="0" w:line="75"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In addition, any shareholder crossing, alone or acting in concert, the 10%, 15%, 20% or 25% threshold shall file a declaration with the AMF pursuant to which it shall expose its intention over the following six months, including notably whether it intends to continue acquiring our shares, it intends to acquire control over us and its intended strategy for us.</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our capital or voting rights, shall file a mandatory public tender offer.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Share Capital</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Increases in Share Capital</w:t>
      </w:r>
    </w:p>
    <w:p>
      <w:pPr>
        <w:spacing w:after="0" w:line="11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French law, our share capital may be increased only with shareholders’ approval at an extraordinary general shareholders’ meeting following the recommendation of our executive board. The shareholders may delegate to our executive board either the authority (</w:t>
      </w:r>
      <w:r>
        <w:rPr>
          <w:rFonts w:ascii="Times New Roman" w:cs="Times New Roman" w:eastAsia="Times New Roman" w:hAnsi="Times New Roman"/>
          <w:sz w:val="18"/>
          <w:szCs w:val="18"/>
          <w:i w:val="1"/>
          <w:iCs w:val="1"/>
          <w:color w:val="auto"/>
        </w:rPr>
        <w:t>délégation de compétence</w:t>
      </w:r>
      <w:r>
        <w:rPr>
          <w:rFonts w:ascii="Times New Roman" w:cs="Times New Roman" w:eastAsia="Times New Roman" w:hAnsi="Times New Roman"/>
          <w:sz w:val="18"/>
          <w:szCs w:val="18"/>
          <w:color w:val="auto"/>
        </w:rPr>
        <w:t>) or the power (</w:t>
      </w:r>
      <w:r>
        <w:rPr>
          <w:rFonts w:ascii="Times New Roman" w:cs="Times New Roman" w:eastAsia="Times New Roman" w:hAnsi="Times New Roman"/>
          <w:sz w:val="18"/>
          <w:szCs w:val="18"/>
          <w:i w:val="1"/>
          <w:iCs w:val="1"/>
          <w:color w:val="auto"/>
        </w:rPr>
        <w:t>délégation de pouvoir</w:t>
      </w:r>
      <w:r>
        <w:rPr>
          <w:rFonts w:ascii="Times New Roman" w:cs="Times New Roman" w:eastAsia="Times New Roman" w:hAnsi="Times New Roman"/>
          <w:sz w:val="18"/>
          <w:szCs w:val="18"/>
          <w:color w:val="auto"/>
        </w:rPr>
        <w:t>) to carry out any increase in share capital in accordance with applicable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Increases in our share capital may be effected by:</w:t>
      </w:r>
    </w:p>
    <w:p>
      <w:pPr>
        <w:spacing w:after="0" w:line="117"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additional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par value of existing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new class of equity securities;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rights attached to securities or other financial instruments giving access to the share capital.</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Increases in share capital by issuing additional securities may be effected through one or more of the following:</w:t>
      </w:r>
    </w:p>
    <w:p>
      <w:pPr>
        <w:spacing w:after="0" w:line="117"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in consideration for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in consideration for assets contributed in kind;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existing shares into a new class of equity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through an exchange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by conversion of previously issued debt instruments;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by capitalization of profits, reserves or share premium;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conditions, issuances by way of offset against debt incurred by us.</w:t>
      </w:r>
    </w:p>
    <w:p>
      <w:pPr>
        <w:spacing w:after="0" w:line="117"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Reduction in Share Capital</w:t>
      </w:r>
    </w:p>
    <w:p>
      <w:pPr>
        <w:spacing w:after="0" w:line="11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Pursuant to French law, any reduction in our share capital requires shareholders’ approval at an extraordinary general shareholders’ meeting following the recommendation of our executive board. The share capital may be reduced either by decreasing the par value of the outstanding shares or by reducing the number of outstanding shares. The number of outstanding shares may be reduced by the repurchase and cancellation of shares. Holders of each class of shares must be treated equally unless each affected shareholder agrees otherwise.</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Preferential Subscription Right</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According to French law, if we issue additional shares or securities giving right, immediately or in the future, to new shares for cash, current shareholders will have preferential subscription rights to these securities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Preferential subscription rights entitle the individual or entity that holds them to subscribe proportionally to the number of shares held by them to the issuance of any securities increasing, or that may result in an increase of, our share capital by means of a cash payment or a set-off of cash debts. The preferential subscription rights may be transferred and/or sold during the subscription period relating to a particular offering. Pursuant to French law, the preferential subscription rights will be transferable during a period starting two business days prior to the opening of the subscription period and ending two business days prior to the closing of the subscription period, it being specified that if the business day starting one of these periods is not a trading day, the relevant period should start the preceding trading day.</w:t>
      </w:r>
    </w:p>
    <w:p>
      <w:pPr>
        <w:spacing w:after="0" w:line="86"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preferential subscription rights with respect to any particular offering may be waived at an extraordinary general meeting by a two-thirds vote of our shareholders or individually by each shareholder. Our executive board and our independent auditors are required by French law to present reports to the shareholders’ meeting that specifically address any proposal to waive the preferential subscription rights.</w:t>
      </w:r>
    </w:p>
    <w:p>
      <w:pPr>
        <w:spacing w:after="0" w:line="72" w:lineRule="exact"/>
        <w:rPr>
          <w:sz w:val="20"/>
          <w:szCs w:val="20"/>
          <w:color w:val="auto"/>
        </w:rPr>
      </w:pPr>
    </w:p>
    <w:p>
      <w:pPr>
        <w:ind w:left="300" w:right="679"/>
        <w:spacing w:after="0" w:line="266" w:lineRule="auto"/>
        <w:rPr>
          <w:sz w:val="20"/>
          <w:szCs w:val="20"/>
          <w:color w:val="auto"/>
        </w:rPr>
      </w:pPr>
      <w:r>
        <w:rPr>
          <w:rFonts w:ascii="Times New Roman" w:cs="Times New Roman" w:eastAsia="Times New Roman" w:hAnsi="Times New Roman"/>
          <w:sz w:val="18"/>
          <w:szCs w:val="18"/>
          <w:color w:val="auto"/>
        </w:rPr>
        <w:t>Further, to the extent permitted under French law, we may seek, during an extraordinary general shareholders’ meeting, the approval of the shareholders to waive their preferential subscription rights in order to authorize the executive board to issue additional shares and/or other securities convertible or exchangeable into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Form, Holding and Transfer of Shares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Form of Shares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our By-laws, our shares may be held in registered or bearer form, at each shareholder’s discretion.</w:t>
      </w:r>
    </w:p>
    <w:p>
      <w:pPr>
        <w:spacing w:after="0" w:line="117"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Further, in accordance with applicable laws, we may request at any time from the central depositary responsible for holding our shares or directly to one or several intermediaries listed in Article L. 211-3 of the French Monetary and Financial Code, information regarding the owners of our shares or securities, if any, giving immediate or future voting rights at our shareholders’ meetings in accordance with Article L. 228-2 of the French Commercial Code.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Holding of Shares (Article 7 of the By-laws)</w:t>
      </w:r>
    </w:p>
    <w:p>
      <w:pPr>
        <w:spacing w:after="0" w:line="11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accordance with French law concerning the “dematerialization” of securities, the ownership rights of shareholders are represented by book entries instead of share certificates. Shares are registered in individual accounts maintained by us or by an authorized intermediary (depending on the form of the relevant shares) appointed by us or the relevant shareholder in the name of each shareholder and are kept in accordance with French law. Each shareholder’s account shows the name of the relevant shareholder and number of shares held.</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Ownership of Shares and ADSs by Non-French Persons</w:t>
      </w:r>
    </w:p>
    <w:p>
      <w:pPr>
        <w:spacing w:after="0" w:line="11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Neither the French Commercial Code nor our By-laws presently impose any restrictions on the right of non-French residents or non-French shareholders to own and vote shares.</w:t>
      </w:r>
    </w:p>
    <w:p>
      <w:pPr>
        <w:spacing w:after="0" w:line="5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However,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Times New Roman" w:cs="Times New Roman" w:eastAsia="Times New Roman" w:hAnsi="Times New Roman"/>
          <w:sz w:val="18"/>
          <w:szCs w:val="18"/>
          <w:i w:val="1"/>
          <w:iCs w:val="1"/>
          <w:color w:val="auto"/>
        </w:rPr>
        <w:t>Banque de France</w:t>
      </w:r>
      <w:r>
        <w:rPr>
          <w:rFonts w:ascii="Times New Roman" w:cs="Times New Roman" w:eastAsia="Times New Roman" w:hAnsi="Times New Roman"/>
          <w:sz w:val="18"/>
          <w:szCs w:val="18"/>
          <w:color w:val="auto"/>
        </w:rPr>
        <w:t>) within twenty business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8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Moreover, under French law, certain investments in any entity governed by a French law relating to certain strategic industries (such as research and development in biotechnologies and activities relating to public health) and activities by individuals or entities not French, not resident in France or controlled by entities not French or not resident in France are subject to prior authorization of the Ministry of Economy.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Assignment and Transfer of Shares</w:t>
      </w:r>
    </w:p>
    <w:p>
      <w:pPr>
        <w:spacing w:after="0" w:line="11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Shares are freely negotiable, subject to applicable legal and regulatory provisions (including, in particular, the prohibition on insider trading).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 xml:space="preserve">The laws applicable to French </w:t>
      </w:r>
      <w:r>
        <w:rPr>
          <w:rFonts w:ascii="Times New Roman" w:cs="Times New Roman" w:eastAsia="Times New Roman" w:hAnsi="Times New Roman"/>
          <w:sz w:val="18"/>
          <w:szCs w:val="18"/>
          <w:i w:val="1"/>
          <w:iCs w:val="1"/>
          <w:color w:val="auto"/>
        </w:rPr>
        <w:t>sociétés anonymes</w:t>
      </w:r>
      <w:r>
        <w:rPr>
          <w:rFonts w:ascii="Times New Roman" w:cs="Times New Roman" w:eastAsia="Times New Roman" w:hAnsi="Times New Roman"/>
          <w:sz w:val="18"/>
          <w:szCs w:val="18"/>
          <w:color w:val="auto"/>
        </w:rPr>
        <w:t xml:space="preserve"> differ from laws applicable to U.S. corporations and their shareholders. Set forth below is a summary of certain material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 For a more complete discussion, please refer to the Delaware General Corporation Law, French law (including, in particular the French Commercial Code) and our By-laws.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24765</wp:posOffset>
            </wp:positionV>
            <wp:extent cx="19888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7" w:lineRule="exact"/>
        <w:rPr>
          <w:sz w:val="20"/>
          <w:szCs w:val="20"/>
          <w:color w:val="auto"/>
        </w:rPr>
      </w:pPr>
    </w:p>
    <w:p>
      <w:pPr>
        <w:ind w:left="2240" w:right="20" w:hanging="1943"/>
        <w:spacing w:after="0" w:line="274"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Number of Directors</w:t>
      </w:r>
      <w:r>
        <w:rPr>
          <w:sz w:val="20"/>
          <w:szCs w:val="20"/>
          <w:color w:val="auto"/>
        </w:rPr>
        <w:tab/>
      </w:r>
      <w:r>
        <w:rPr>
          <w:rFonts w:ascii="Times New Roman" w:cs="Times New Roman" w:eastAsia="Times New Roman" w:hAnsi="Times New Roman"/>
          <w:sz w:val="17"/>
          <w:szCs w:val="17"/>
          <w:color w:val="auto"/>
        </w:rPr>
        <w:t xml:space="preserve">Under French law, a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with an executive board (</w:t>
      </w:r>
      <w:r>
        <w:rPr>
          <w:rFonts w:ascii="Times New Roman" w:cs="Times New Roman" w:eastAsia="Times New Roman" w:hAnsi="Times New Roman"/>
          <w:sz w:val="17"/>
          <w:szCs w:val="17"/>
          <w:i w:val="1"/>
          <w:iCs w:val="1"/>
          <w:color w:val="auto"/>
        </w:rPr>
        <w:t>directoire</w:t>
      </w:r>
      <w:r>
        <w:rPr>
          <w:rFonts w:ascii="Times New Roman" w:cs="Times New Roman" w:eastAsia="Times New Roman" w:hAnsi="Times New Roman"/>
          <w:sz w:val="17"/>
          <w:szCs w:val="17"/>
          <w:color w:val="auto"/>
        </w:rPr>
        <w:t>) and a supervisory board (</w:t>
      </w:r>
      <w:r>
        <w:rPr>
          <w:rFonts w:ascii="Times New Roman" w:cs="Times New Roman" w:eastAsia="Times New Roman" w:hAnsi="Times New Roman"/>
          <w:sz w:val="17"/>
          <w:szCs w:val="17"/>
          <w:i w:val="1"/>
          <w:iCs w:val="1"/>
          <w:color w:val="auto"/>
        </w:rPr>
        <w:t>conseil de surveillance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2240" w:hanging="4"/>
        <w:spacing w:after="0" w:line="250" w:lineRule="auto"/>
        <w:tabs>
          <w:tab w:leader="none" w:pos="24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at least 2 (or 1 when its share capital is below €150,000) and may have up to 5 (or 7 when the company is listed on a regulated market) executive board members and (ii) must have at least three but no more than 18 supervisory board members. The number of members is fixed by or in the manner provided in the by-laws. The members of the supervisory board are appointed at the shareholders’ general meetings. The number of supervisory board members of each gender may not be less than 40%. As an exception, for a supervisory board having up to 8 members, the difference between each gender may not exceed 2. Any appointment made in violation thereof will be null and void. Moreover, the deliberations of the board in which the member appointed in contravention of the aforementioned rule would have participated will also be deemed null and void.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by-laws, unless the certificate of incorporation fixes the number of directors, in which case a change in the number of directors shall be made only by amendment of the certificate.</w:t>
      </w:r>
    </w:p>
    <w:p>
      <w:pPr>
        <w:spacing w:after="0" w:line="3853" w:lineRule="exact"/>
        <w:rPr>
          <w:sz w:val="20"/>
          <w:szCs w:val="20"/>
          <w:color w:val="auto"/>
        </w:rPr>
      </w:pPr>
    </w:p>
    <w:p>
      <w:pPr>
        <w:sectPr>
          <w:pgSz w:w="11900" w:h="16838" w:orient="portrait"/>
          <w:cols w:equalWidth="0" w:num="2">
            <w:col w:w="5360" w:space="220"/>
            <w:col w:w="3439"/>
          </w:cols>
          <w:pgMar w:left="1440" w:top="263" w:right="1440" w:bottom="1440" w:gutter="0" w:footer="0" w:header="0"/>
        </w:sectPr>
      </w:pPr>
    </w:p>
    <w:p>
      <w:pPr>
        <w:spacing w:after="0" w:line="5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Under French law, a corporation may</w:t>
      </w:r>
    </w:p>
    <w:p>
      <w:pPr>
        <w:spacing w:after="0" w:line="31"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Qualifications</w:t>
      </w:r>
      <w:r>
        <w:rPr>
          <w:sz w:val="20"/>
          <w:szCs w:val="20"/>
          <w:color w:val="auto"/>
        </w:rPr>
        <w:tab/>
      </w:r>
      <w:r>
        <w:rPr>
          <w:rFonts w:ascii="Times New Roman" w:cs="Times New Roman" w:eastAsia="Times New Roman" w:hAnsi="Times New Roman"/>
          <w:sz w:val="18"/>
          <w:szCs w:val="18"/>
          <w:color w:val="auto"/>
        </w:rPr>
        <w:t>prescribe qualifications for executive and</w:t>
      </w:r>
    </w:p>
    <w:p>
      <w:pPr>
        <w:spacing w:after="0" w:line="9" w:lineRule="exact"/>
        <w:rPr>
          <w:sz w:val="20"/>
          <w:szCs w:val="20"/>
          <w:color w:val="auto"/>
        </w:rPr>
      </w:pPr>
    </w:p>
    <w:p>
      <w:pPr>
        <w:ind w:left="2240"/>
        <w:spacing w:after="0" w:line="251" w:lineRule="auto"/>
        <w:rPr>
          <w:sz w:val="20"/>
          <w:szCs w:val="20"/>
          <w:color w:val="auto"/>
        </w:rPr>
      </w:pPr>
      <w:r>
        <w:rPr>
          <w:rFonts w:ascii="Times New Roman" w:cs="Times New Roman" w:eastAsia="Times New Roman" w:hAnsi="Times New Roman"/>
          <w:sz w:val="18"/>
          <w:szCs w:val="18"/>
          <w:color w:val="auto"/>
        </w:rPr>
        <w:t>supervisory board members under its by-laws. In addition, under French law, members of a supervisory board of a corporation may be legal entities, and such legal entities may designate an individual to represent them and to act on their behalf at meetings of the supervisory board. However, only individuals may be appointed members of an executive board.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339"/>
        <w:spacing w:after="0" w:line="256" w:lineRule="auto"/>
        <w:rPr>
          <w:sz w:val="20"/>
          <w:szCs w:val="20"/>
          <w:color w:val="auto"/>
        </w:rPr>
      </w:pPr>
      <w:r>
        <w:rPr>
          <w:rFonts w:ascii="Times New Roman" w:cs="Times New Roman" w:eastAsia="Times New Roman" w:hAnsi="Times New Roman"/>
          <w:sz w:val="18"/>
          <w:szCs w:val="18"/>
          <w:color w:val="auto"/>
        </w:rPr>
        <w:t>Under Delaware law, a corporation may prescribe qualifications for directors under its certificate of incorporation or by-laws. Under Delaware law, only individuals may be members of a corporation’s board of directors.</w:t>
      </w:r>
    </w:p>
    <w:p>
      <w:pPr>
        <w:spacing w:after="0" w:line="1273" w:lineRule="exact"/>
        <w:rPr>
          <w:sz w:val="20"/>
          <w:szCs w:val="20"/>
          <w:color w:val="auto"/>
        </w:rPr>
      </w:pPr>
    </w:p>
    <w:p>
      <w:pPr>
        <w:sectPr>
          <w:pgSz w:w="11900" w:h="16838" w:orient="portrait"/>
          <w:cols w:equalWidth="0" w:num="2">
            <w:col w:w="5320" w:space="260"/>
            <w:col w:w="3439"/>
          </w:cols>
          <w:pgMar w:left="1440" w:top="263" w:right="1440" w:bottom="1440" w:gutter="0" w:footer="0" w:header="0"/>
          <w:type w:val="continuous"/>
        </w:sectPr>
      </w:pPr>
    </w:p>
    <w:p>
      <w:pPr>
        <w:spacing w:after="0" w:line="43" w:lineRule="exact"/>
        <w:rPr>
          <w:sz w:val="20"/>
          <w:szCs w:val="20"/>
          <w:color w:val="auto"/>
        </w:rPr>
      </w:pPr>
    </w:p>
    <w:p>
      <w:pPr>
        <w:ind w:left="2240" w:hanging="1943"/>
        <w:spacing w:after="0" w:line="253"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8"/>
          <w:szCs w:val="18"/>
          <w:color w:val="auto"/>
        </w:rPr>
        <w:t>Under French law, the supervisory board members may be removed from office, at any time, with or without cause, at any shareholders’ meeting by a simple majority vote. The members of the executive board may be removed at the shareholders’ meeting or, if provided in the by-laws, by the supervisory board. The executive board member removed without cause may claim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color w:val="auto"/>
        </w:rPr>
        <w:t>Under Delaware law, directors may be removed from office, with or without cause, by a majority stockholder vote, except (1) in the case of a corporation whose board of directors is classified, stockholders may effect such removal only for cause (unless the certificate of incorporation provides otherwise), or (2)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w:t>
      </w:r>
    </w:p>
    <w:p>
      <w:pPr>
        <w:sectPr>
          <w:pgSz w:w="11900" w:h="16838" w:orient="portrait"/>
          <w:cols w:equalWidth="0" w:num="2">
            <w:col w:w="5360" w:space="220"/>
            <w:col w:w="3439"/>
          </w:cols>
          <w:pgMar w:left="1440" w:top="263" w:right="1440" w:bottom="1440" w:gutter="0" w:footer="0" w:header="0"/>
          <w:type w:val="continuous"/>
        </w:sectPr>
      </w:pPr>
    </w:p>
    <w:bookmarkStart w:id="78" w:name="page79"/>
    <w:bookmarkEnd w:id="7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4580"/>
        <w:spacing w:after="0"/>
        <w:tabs>
          <w:tab w:leader="none" w:pos="7840" w:val="left"/>
        </w:tabs>
        <w:rPr>
          <w:sz w:val="20"/>
          <w:szCs w:val="20"/>
          <w:color w:val="auto"/>
        </w:rPr>
      </w:pPr>
      <w:r>
        <w:rPr>
          <w:rFonts w:ascii="Times New Roman" w:cs="Times New Roman" w:eastAsia="Times New Roman" w:hAnsi="Times New Roman"/>
          <w:sz w:val="14"/>
          <w:szCs w:val="14"/>
          <w:b w:val="1"/>
          <w:bCs w:val="1"/>
          <w:color w:val="auto"/>
        </w:rPr>
        <w:t>France</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24765</wp:posOffset>
            </wp:positionV>
            <wp:extent cx="4114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directors, or, if there are classes of</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directors, at an election of the class of</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directors of which such director is a part.</w:t>
      </w:r>
    </w:p>
    <w:p>
      <w:pPr>
        <w:sectPr>
          <w:pgSz w:w="11900" w:h="16838" w:orient="portrait"/>
          <w:cols w:equalWidth="0" w:num="1">
            <w:col w:w="11020"/>
          </w:cols>
          <w:pgMar w:left="440" w:top="263" w:right="439" w:bottom="1440" w:gutter="0" w:footer="0" w:header="0"/>
        </w:sectPr>
      </w:pPr>
    </w:p>
    <w:p>
      <w:pPr>
        <w:spacing w:after="0" w:line="257"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Vacancies on the</w:t>
      </w:r>
      <w:r>
        <w:rPr>
          <w:sz w:val="20"/>
          <w:szCs w:val="20"/>
          <w:color w:val="auto"/>
        </w:rPr>
        <w:tab/>
      </w:r>
      <w:r>
        <w:rPr>
          <w:rFonts w:ascii="Times New Roman" w:cs="Times New Roman" w:eastAsia="Times New Roman" w:hAnsi="Times New Roman"/>
          <w:sz w:val="17"/>
          <w:szCs w:val="17"/>
          <w:color w:val="auto"/>
        </w:rPr>
        <w:t>Under French law, vacancies on the</w:t>
      </w:r>
    </w:p>
    <w:p>
      <w:pPr>
        <w:spacing w:after="0" w:line="3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Supervisory Board</w:t>
      </w:r>
      <w:r>
        <w:rPr>
          <w:sz w:val="20"/>
          <w:szCs w:val="20"/>
          <w:color w:val="auto"/>
        </w:rPr>
        <w:tab/>
      </w:r>
      <w:r>
        <w:rPr>
          <w:rFonts w:ascii="Times New Roman" w:cs="Times New Roman" w:eastAsia="Times New Roman" w:hAnsi="Times New Roman"/>
          <w:sz w:val="17"/>
          <w:szCs w:val="17"/>
          <w:color w:val="auto"/>
        </w:rPr>
        <w:t>executive board resulting from death or a</w:t>
      </w:r>
    </w:p>
    <w:p>
      <w:pPr>
        <w:spacing w:after="0" w:line="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and the Executive</w:t>
      </w:r>
      <w:r>
        <w:rPr>
          <w:sz w:val="20"/>
          <w:szCs w:val="20"/>
          <w:color w:val="auto"/>
        </w:rPr>
        <w:tab/>
      </w:r>
      <w:r>
        <w:rPr>
          <w:rFonts w:ascii="Times New Roman" w:cs="Times New Roman" w:eastAsia="Times New Roman" w:hAnsi="Times New Roman"/>
          <w:sz w:val="17"/>
          <w:szCs w:val="17"/>
          <w:color w:val="auto"/>
        </w:rPr>
        <w:t>resignation or for any other reason will</w:t>
      </w:r>
    </w:p>
    <w:p>
      <w:pPr>
        <w:spacing w:after="0" w:line="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Board</w:t>
      </w:r>
      <w:r>
        <w:rPr>
          <w:sz w:val="20"/>
          <w:szCs w:val="20"/>
          <w:color w:val="auto"/>
        </w:rPr>
        <w:tab/>
      </w:r>
      <w:r>
        <w:rPr>
          <w:rFonts w:ascii="Times New Roman" w:cs="Times New Roman" w:eastAsia="Times New Roman" w:hAnsi="Times New Roman"/>
          <w:sz w:val="18"/>
          <w:szCs w:val="18"/>
          <w:color w:val="auto"/>
        </w:rPr>
        <w:t>have to be filled by the supervisory board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within two months, unless the supervisory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board decides to amend the number of</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executive board members. Vacancies on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the supervisory board may be filled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temporarily by such board pending</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ratification by the next shareholders’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meeting. The shareholders’ meeting will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immediately be held to appoint new</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supervisory board members if their number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went below the minimum required by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1400"/>
        <w:spacing w:after="0" w:line="273" w:lineRule="auto"/>
        <w:rPr>
          <w:sz w:val="20"/>
          <w:szCs w:val="20"/>
          <w:color w:val="auto"/>
        </w:rPr>
      </w:pPr>
      <w:r>
        <w:rPr>
          <w:rFonts w:ascii="Times New Roman" w:cs="Times New Roman" w:eastAsia="Times New Roman" w:hAnsi="Times New Roman"/>
          <w:sz w:val="17"/>
          <w:szCs w:val="17"/>
          <w:color w:val="auto"/>
        </w:rPr>
        <w:t>Under Delaware law, unless the certificate of incorporation or by-laws provide otherwise, vacancies on a corporation’s board of directors, including those caused by an increase in the number of directors, may be filled by stockholders or by a majority of the remaining directors.</w:t>
      </w:r>
    </w:p>
    <w:p>
      <w:pPr>
        <w:spacing w:after="0" w:line="1676" w:lineRule="exact"/>
        <w:rPr>
          <w:sz w:val="20"/>
          <w:szCs w:val="20"/>
          <w:color w:val="auto"/>
        </w:rPr>
      </w:pPr>
    </w:p>
    <w:p>
      <w:pPr>
        <w:sectPr>
          <w:pgSz w:w="11900" w:h="16838" w:orient="portrait"/>
          <w:cols w:equalWidth="0" w:num="2">
            <w:col w:w="6360" w:space="220"/>
            <w:col w:w="4440"/>
          </w:cols>
          <w:pgMar w:left="440" w:top="263" w:right="439" w:bottom="1440" w:gutter="0" w:footer="0" w:header="0"/>
          <w:type w:val="continuous"/>
        </w:sectPr>
      </w:pPr>
    </w:p>
    <w:p>
      <w:pPr>
        <w:spacing w:after="0" w:line="57"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Annual General</w:t>
      </w:r>
      <w:r>
        <w:rPr>
          <w:sz w:val="20"/>
          <w:szCs w:val="20"/>
          <w:color w:val="auto"/>
        </w:rPr>
        <w:tab/>
      </w:r>
      <w:r>
        <w:rPr>
          <w:rFonts w:ascii="Times New Roman" w:cs="Times New Roman" w:eastAsia="Times New Roman" w:hAnsi="Times New Roman"/>
          <w:sz w:val="17"/>
          <w:szCs w:val="17"/>
          <w:color w:val="auto"/>
        </w:rPr>
        <w:t>Under French law, the annual general</w:t>
      </w:r>
    </w:p>
    <w:p>
      <w:pPr>
        <w:spacing w:after="0" w:line="3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Meeting</w:t>
      </w:r>
      <w:r>
        <w:rPr>
          <w:sz w:val="20"/>
          <w:szCs w:val="20"/>
          <w:color w:val="auto"/>
        </w:rPr>
        <w:tab/>
      </w:r>
      <w:r>
        <w:rPr>
          <w:rFonts w:ascii="Times New Roman" w:cs="Times New Roman" w:eastAsia="Times New Roman" w:hAnsi="Times New Roman"/>
          <w:sz w:val="18"/>
          <w:szCs w:val="18"/>
          <w:color w:val="auto"/>
        </w:rPr>
        <w:t>meeting of shareholders shall be held at</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such place, on such date and at such time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as decided each year by the executive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board and notified to the shareholders in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the convening notice of the annual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meeting, within six months after the close</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of the relevant fiscal year unless such</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period is extended by court order.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300"/>
        <w:spacing w:after="0" w:line="252"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 provided that the court may order an annual meeting upon the application of a director or stockholder if a corporation has not held a meeting within 30 days of a date designated for the meeting or within</w:t>
      </w:r>
    </w:p>
    <w:p>
      <w:pPr>
        <w:spacing w:after="0" w:line="4" w:lineRule="exact"/>
        <w:rPr>
          <w:sz w:val="20"/>
          <w:szCs w:val="20"/>
          <w:color w:val="auto"/>
        </w:rPr>
      </w:pPr>
    </w:p>
    <w:p>
      <w:pPr>
        <w:ind w:right="1540"/>
        <w:spacing w:after="0" w:line="253" w:lineRule="auto"/>
        <w:rPr>
          <w:sz w:val="20"/>
          <w:szCs w:val="20"/>
          <w:color w:val="auto"/>
        </w:rPr>
      </w:pPr>
      <w:r>
        <w:rPr>
          <w:rFonts w:ascii="Times New Roman" w:cs="Times New Roman" w:eastAsia="Times New Roman" w:hAnsi="Times New Roman"/>
          <w:sz w:val="18"/>
          <w:szCs w:val="18"/>
          <w:color w:val="auto"/>
        </w:rPr>
        <w:t>13 months after the latest of the Company’s organization, the last annual meeting or the last action by written consent to elect directors.</w:t>
      </w:r>
    </w:p>
    <w:p>
      <w:pPr>
        <w:spacing w:after="0" w:line="200" w:lineRule="exact"/>
        <w:rPr>
          <w:sz w:val="20"/>
          <w:szCs w:val="20"/>
          <w:color w:val="auto"/>
        </w:rPr>
      </w:pPr>
    </w:p>
    <w:p>
      <w:pPr>
        <w:sectPr>
          <w:pgSz w:w="11900" w:h="16838" w:orient="portrait"/>
          <w:cols w:equalWidth="0" w:num="2">
            <w:col w:w="6240" w:space="340"/>
            <w:col w:w="4440"/>
          </w:cols>
          <w:pgMar w:left="440" w:top="263" w:right="439" w:bottom="1440" w:gutter="0" w:footer="0" w:header="0"/>
          <w:type w:val="continuous"/>
        </w:sectPr>
      </w:pPr>
    </w:p>
    <w:p>
      <w:pPr>
        <w:spacing w:after="0" w:line="3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General Meeting</w:t>
      </w:r>
      <w:r>
        <w:rPr>
          <w:sz w:val="20"/>
          <w:szCs w:val="20"/>
          <w:color w:val="auto"/>
        </w:rPr>
        <w:tab/>
      </w:r>
      <w:r>
        <w:rPr>
          <w:rFonts w:ascii="Times New Roman" w:cs="Times New Roman" w:eastAsia="Times New Roman" w:hAnsi="Times New Roman"/>
          <w:sz w:val="17"/>
          <w:szCs w:val="17"/>
          <w:color w:val="auto"/>
        </w:rPr>
        <w:t>Under French law, general meetings of the</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shareholders may be called by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executive board or, failing that, by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statutory auditors, or by a court appointed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agent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or liquidator in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certain circumstances, or by the majority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shareholder in capital or voting rights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following a public tender offer or exchange</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offer or the transfer of a controlling block,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on the date decided by the executive board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or the relevant person. General meetings of</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the shareholders may also be called by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supervisory board.</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480"/>
        <w:spacing w:after="0" w:line="256"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1692" w:lineRule="exact"/>
        <w:rPr>
          <w:sz w:val="20"/>
          <w:szCs w:val="20"/>
          <w:color w:val="auto"/>
        </w:rPr>
      </w:pPr>
    </w:p>
    <w:p>
      <w:pPr>
        <w:sectPr>
          <w:pgSz w:w="11900" w:h="16838" w:orient="portrait"/>
          <w:cols w:equalWidth="0" w:num="2">
            <w:col w:w="6360" w:space="220"/>
            <w:col w:w="4440"/>
          </w:cols>
          <w:pgMar w:left="440" w:top="263" w:right="4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Notice of General</w:t>
            </w:r>
          </w:p>
        </w:tc>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first convening notice must be published</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 Delaware law, unless otherwise</w:t>
            </w:r>
          </w:p>
        </w:tc>
      </w:tr>
      <w:tr>
        <w:trPr>
          <w:trHeight w:val="220"/>
        </w:trPr>
        <w:tc>
          <w:tcPr>
            <w:tcW w:w="29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the mandatory statutory notices (BALO)</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provided in the certificate of incorporation</w:t>
            </w:r>
          </w:p>
        </w:tc>
      </w:tr>
      <w:tr>
        <w:trPr>
          <w:trHeight w:val="216"/>
        </w:trPr>
        <w:tc>
          <w:tcPr>
            <w:tcW w:w="294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least 35 days prior to the meeting.</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by-laws, written notice of any meeting</w:t>
            </w:r>
          </w:p>
        </w:tc>
      </w:tr>
      <w:tr>
        <w:trPr>
          <w:trHeight w:val="216"/>
        </w:trPr>
        <w:tc>
          <w:tcPr>
            <w:tcW w:w="294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Subject to limited exceptions provided by</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the stockholders generally must be</w:t>
            </w:r>
          </w:p>
        </w:tc>
      </w:tr>
      <w:tr>
        <w:trPr>
          <w:trHeight w:val="234"/>
        </w:trPr>
        <w:tc>
          <w:tcPr>
            <w:tcW w:w="29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given to</w:t>
            </w:r>
          </w:p>
        </w:tc>
      </w:tr>
      <w:tr>
        <w:trPr>
          <w:trHeight w:val="486"/>
        </w:trPr>
        <w:tc>
          <w:tcPr>
            <w:tcW w:w="294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23</w:t>
            </w:r>
          </w:p>
        </w:tc>
        <w:tc>
          <w:tcPr>
            <w:tcW w:w="4560" w:type="dxa"/>
            <w:vAlign w:val="bottom"/>
          </w:tcPr>
          <w:p>
            <w:pPr>
              <w:spacing w:after="0"/>
              <w:rPr>
                <w:sz w:val="24"/>
                <w:szCs w:val="24"/>
                <w:color w:val="auto"/>
              </w:rPr>
            </w:pPr>
          </w:p>
        </w:tc>
      </w:tr>
      <w:tr>
        <w:trPr>
          <w:trHeight w:val="196"/>
        </w:trPr>
        <w:tc>
          <w:tcPr>
            <w:tcW w:w="29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24765</wp:posOffset>
            </wp:positionV>
            <wp:extent cx="19888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French law, additional convening notices</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must be given at least 15 days before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date of the meeting, by means of a notice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inserted in both the BALO and a</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newspaper for legal notices (</w:t>
      </w:r>
      <w:r>
        <w:rPr>
          <w:rFonts w:ascii="Times New Roman" w:cs="Times New Roman" w:eastAsia="Times New Roman" w:hAnsi="Times New Roman"/>
          <w:sz w:val="18"/>
          <w:szCs w:val="18"/>
          <w:i w:val="1"/>
          <w:iCs w:val="1"/>
          <w:color w:val="auto"/>
        </w:rPr>
        <w:t>journal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i w:val="1"/>
          <w:iCs w:val="1"/>
          <w:color w:val="auto"/>
        </w:rPr>
        <w:t>d’annonces légales</w:t>
      </w:r>
      <w:r>
        <w:rPr>
          <w:rFonts w:ascii="Times New Roman" w:cs="Times New Roman" w:eastAsia="Times New Roman" w:hAnsi="Times New Roman"/>
          <w:sz w:val="17"/>
          <w:szCs w:val="17"/>
          <w:color w:val="auto"/>
        </w:rPr>
        <w:t>) of the registered office</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department of the Company. Further,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shareholders holding registered shares for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at least one month at the time of the latest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insertion of the notices shall be summoned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individually, by regular letter or by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registered letter if the shareholders so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request and include an advance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expenses, sent to their last known address.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This notice to registered shareholders may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also be transmitted by electronic means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telecommunication, in lieu of any such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mailing, to any relevant shareholder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requesting it beforehand either by post or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electronic means of receipt in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accordance with legal and regulatory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requirements, specifying his e-mail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address. When the shareholders’ meeting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cannot deliberate due to the lack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required quorum, the second meeting must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 called at least ten calendar days in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advance in the same manner as used for the</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first notice. The convening notice shall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specify the name, acronym, legal form,</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 capital, registered office address and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registration number with the French Trade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and Companies Register (</w:t>
      </w:r>
      <w:r>
        <w:rPr>
          <w:rFonts w:ascii="Times New Roman" w:cs="Times New Roman" w:eastAsia="Times New Roman" w:hAnsi="Times New Roman"/>
          <w:sz w:val="18"/>
          <w:szCs w:val="18"/>
          <w:i w:val="1"/>
          <w:iCs w:val="1"/>
          <w:color w:val="auto"/>
        </w:rPr>
        <w:t>Registre du</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commerce et des sociétés</w:t>
      </w:r>
      <w:r>
        <w:rPr>
          <w:rFonts w:ascii="Times New Roman" w:cs="Times New Roman" w:eastAsia="Times New Roman" w:hAnsi="Times New Roman"/>
          <w:sz w:val="18"/>
          <w:szCs w:val="18"/>
          <w:color w:val="auto"/>
        </w:rPr>
        <w:t>) of the company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and the place, date, hour, agenda and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nature (ordinary or extraordinary)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line="267" w:lineRule="auto"/>
        <w:rPr>
          <w:sz w:val="20"/>
          <w:szCs w:val="20"/>
          <w:color w:val="auto"/>
        </w:rPr>
      </w:pPr>
      <w:r>
        <w:rPr>
          <w:rFonts w:ascii="Times New Roman" w:cs="Times New Roman" w:eastAsia="Times New Roman" w:hAnsi="Times New Roman"/>
          <w:sz w:val="17"/>
          <w:szCs w:val="17"/>
          <w:color w:val="auto"/>
        </w:rPr>
        <w:t>This notice must also indicate the conditions under which the shareholders may vote by correspondence and the places and conditions in which they can obtain voting forms by mail and, as the case may be, the email address to which they may send written questions. In addition, if the shareholders’ meeting is held by videoconference or another means of telecommunication allowing identification of the relevant shareholder in accordance with applicable laws, the notice also specifies that shareholders may participate in this meeting exclusively by such means.</w:t>
      </w:r>
    </w:p>
    <w:p>
      <w:pPr>
        <w:spacing w:after="0" w:line="200" w:lineRule="exact"/>
        <w:rPr>
          <w:sz w:val="20"/>
          <w:szCs w:val="20"/>
          <w:color w:val="auto"/>
        </w:rPr>
      </w:pPr>
    </w:p>
    <w:p>
      <w:pPr>
        <w:spacing w:after="0" w:line="3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right="639"/>
        <w:spacing w:after="0" w:line="276" w:lineRule="auto"/>
        <w:rPr>
          <w:sz w:val="20"/>
          <w:szCs w:val="20"/>
          <w:color w:val="auto"/>
        </w:rPr>
      </w:pPr>
      <w:r>
        <w:rPr>
          <w:rFonts w:ascii="Times New Roman" w:cs="Times New Roman" w:eastAsia="Times New Roman" w:hAnsi="Times New Roman"/>
          <w:sz w:val="17"/>
          <w:szCs w:val="17"/>
          <w:color w:val="auto"/>
        </w:rPr>
        <w:t>each stockholder entitled to vote at the meeting not less than 10 nor more than</w:t>
      </w:r>
    </w:p>
    <w:p>
      <w:pPr>
        <w:spacing w:after="0" w:line="1"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purpose or purposes for which the meeting is called.</w:t>
      </w:r>
    </w:p>
    <w:p>
      <w:pPr>
        <w:sectPr>
          <w:pgSz w:w="11900" w:h="16838" w:orient="portrait"/>
          <w:cols w:equalWidth="0" w:num="2">
            <w:col w:w="5360" w:space="220"/>
            <w:col w:w="3439"/>
          </w:cols>
          <w:pgMar w:left="1440" w:top="263" w:right="1440" w:bottom="1440" w:gutter="0" w:footer="0" w:header="0"/>
        </w:sectPr>
      </w:pPr>
    </w:p>
    <w:bookmarkStart w:id="80" w:name="page81"/>
    <w:bookmarkEnd w:id="80"/>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120" w:type="dxa"/>
            <w:vAlign w:val="bottom"/>
          </w:tcPr>
          <w:p>
            <w:pPr>
              <w:spacing w:after="0"/>
              <w:rPr>
                <w:sz w:val="13"/>
                <w:szCs w:val="13"/>
                <w:color w:val="auto"/>
              </w:rPr>
            </w:pPr>
          </w:p>
        </w:tc>
      </w:tr>
      <w:tr>
        <w:trPr>
          <w:trHeight w:val="405"/>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France</w:t>
            </w:r>
          </w:p>
        </w:tc>
      </w:tr>
      <w:tr>
        <w:trPr>
          <w:trHeight w:val="22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Proxy</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Under French law, any shareholder may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attend the meetings and vote (1) in person,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 (2) by granting a proxy to his/her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spouse, his/her partner with whom he/she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has entered into a civil union or to another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or to any person for legal</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entities, or (3) by sending a proxy to us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without indication of the beneficiary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which case, such proxy shall be cast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favor of the resolutions supported by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executive board), or (4) by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correspondence, or (5) by videoconference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 another means of telecommunication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allowing identification of the relevant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in accordance with applicable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laws. The proxy is only valid for a single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meeting or successive meetings convened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with the same agenda. It can also be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w w:val="99"/>
              </w:rPr>
              <w:t>granted for two meetings, one ordinary,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w w:val="99"/>
              </w:rPr>
              <w:t>other extraordinary, held within a period of</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fifteen days.</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3214" w:lineRule="exact"/>
        <w:rPr>
          <w:sz w:val="20"/>
          <w:szCs w:val="20"/>
          <w:color w:val="auto"/>
        </w:rPr>
      </w:pPr>
    </w:p>
    <w:p>
      <w:pPr>
        <w:sectPr>
          <w:pgSz w:w="11900" w:h="16838" w:orient="portrait"/>
          <w:cols w:equalWidth="0" w:num="2">
            <w:col w:w="5360" w:space="220"/>
            <w:col w:w="3439"/>
          </w:cols>
          <w:pgMar w:left="1440" w:top="262" w:right="1440" w:bottom="1440" w:gutter="0" w:footer="0" w:header="0"/>
        </w:sectPr>
      </w:pPr>
    </w:p>
    <w:p>
      <w:pPr>
        <w:spacing w:after="0" w:line="48"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Shareholder action by</w:t>
      </w:r>
      <w:r>
        <w:rPr>
          <w:sz w:val="20"/>
          <w:szCs w:val="20"/>
          <w:color w:val="auto"/>
        </w:rPr>
        <w:tab/>
      </w:r>
      <w:r>
        <w:rPr>
          <w:rFonts w:ascii="Times New Roman" w:cs="Times New Roman" w:eastAsia="Times New Roman" w:hAnsi="Times New Roman"/>
          <w:sz w:val="17"/>
          <w:szCs w:val="17"/>
          <w:color w:val="auto"/>
        </w:rPr>
        <w:t>Under French law, shareholders’ action by</w:t>
      </w:r>
    </w:p>
    <w:p>
      <w:pPr>
        <w:spacing w:after="0" w:line="31" w:lineRule="exact"/>
        <w:rPr>
          <w:sz w:val="20"/>
          <w:szCs w:val="20"/>
          <w:color w:val="auto"/>
        </w:rPr>
      </w:pPr>
    </w:p>
    <w:p>
      <w:pPr>
        <w:ind w:left="2240" w:right="480" w:hanging="1943"/>
        <w:spacing w:after="0" w:line="260"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written consent</w:t>
      </w:r>
      <w:r>
        <w:rPr>
          <w:sz w:val="20"/>
          <w:szCs w:val="20"/>
          <w:color w:val="auto"/>
        </w:rPr>
        <w:tab/>
      </w:r>
      <w:r>
        <w:rPr>
          <w:rFonts w:ascii="Times New Roman" w:cs="Times New Roman" w:eastAsia="Times New Roman" w:hAnsi="Times New Roman"/>
          <w:sz w:val="18"/>
          <w:szCs w:val="18"/>
          <w:color w:val="auto"/>
        </w:rPr>
        <w:t xml:space="preserve">written consent is not permitted in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39"/>
        <w:spacing w:after="0" w:line="254" w:lineRule="auto"/>
        <w:rPr>
          <w:sz w:val="20"/>
          <w:szCs w:val="20"/>
          <w:color w:val="auto"/>
        </w:rPr>
      </w:pPr>
      <w:r>
        <w:rPr>
          <w:rFonts w:ascii="Times New Roman" w:cs="Times New Roman" w:eastAsia="Times New Roman" w:hAnsi="Times New Roman"/>
          <w:sz w:val="18"/>
          <w:szCs w:val="18"/>
          <w:color w:val="auto"/>
        </w:rPr>
        <w:t>Under Delaware law, unless otherwise provided in a corporation’s certificate of incorporation, stockholders may act by written consent signed by stockholders having the minimum number of votes that would be necessary to take such action at a meeting at which all shares entitled to vote thereon were present and voted.</w:t>
      </w:r>
    </w:p>
    <w:p>
      <w:pPr>
        <w:spacing w:after="0" w:line="200" w:lineRule="exact"/>
        <w:rPr>
          <w:sz w:val="20"/>
          <w:szCs w:val="20"/>
          <w:color w:val="auto"/>
        </w:rPr>
      </w:pPr>
    </w:p>
    <w:p>
      <w:pPr>
        <w:sectPr>
          <w:pgSz w:w="11900" w:h="16838" w:orient="portrait"/>
          <w:cols w:equalWidth="0" w:num="2">
            <w:col w:w="5300" w:space="280"/>
            <w:col w:w="3439"/>
          </w:cols>
          <w:pgMar w:left="1440" w:top="262" w:right="1440" w:bottom="1440" w:gutter="0" w:footer="0" w:header="0"/>
          <w:type w:val="continuous"/>
        </w:sectPr>
      </w:pPr>
    </w:p>
    <w:p>
      <w:pPr>
        <w:spacing w:after="0" w:line="42"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Preemptive Rights</w:t>
      </w:r>
      <w:r>
        <w:rPr>
          <w:sz w:val="20"/>
          <w:szCs w:val="20"/>
          <w:color w:val="auto"/>
        </w:rPr>
        <w:tab/>
      </w:r>
      <w:r>
        <w:rPr>
          <w:rFonts w:ascii="Times New Roman" w:cs="Times New Roman" w:eastAsia="Times New Roman" w:hAnsi="Times New Roman"/>
          <w:sz w:val="17"/>
          <w:szCs w:val="17"/>
          <w:color w:val="auto"/>
        </w:rPr>
        <w:t>Under French law, in case of issuance of</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additional shares or other securities giving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right, immediately or in the future, 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new shares for cash or set-off against cash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debts, the existing shareholders have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preferential subscription rights to these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xml:space="preserve">securities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unless such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rights are waived by a two-thirds majority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of the votes cast by the shareholders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present, represented by proxy or voting by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mail at the extraordinary meeting deciding</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or authorizing the capital increase.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votes cast do not include votes attached 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shares held by shareholders who did not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take part in the vote, abstained or whose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votes were blank or null. In case such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rights are not waived by the extraordinary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general meeting, each shareholder may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either exercise, assign or not exercise its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preferential rights. Preferential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subscription rights may only be exercised</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19"/>
        <w:spacing w:after="0" w:line="256" w:lineRule="auto"/>
        <w:rPr>
          <w:sz w:val="20"/>
          <w:szCs w:val="20"/>
          <w:color w:val="auto"/>
        </w:rPr>
      </w:pPr>
      <w:r>
        <w:rPr>
          <w:rFonts w:ascii="Times New Roman" w:cs="Times New Roman" w:eastAsia="Times New Roman" w:hAnsi="Times New Roman"/>
          <w:sz w:val="18"/>
          <w:szCs w:val="18"/>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5300" w:space="280"/>
            <w:col w:w="3439"/>
          </w:cols>
          <w:pgMar w:left="1440" w:top="262" w:right="1440" w:bottom="1440" w:gutter="0" w:footer="0" w:header="0"/>
          <w:type w:val="continuous"/>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24765</wp:posOffset>
            </wp:positionV>
            <wp:extent cx="19888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left="2240" w:right="60"/>
        <w:spacing w:after="0" w:line="252" w:lineRule="auto"/>
        <w:rPr>
          <w:sz w:val="20"/>
          <w:szCs w:val="20"/>
          <w:color w:val="auto"/>
        </w:rPr>
      </w:pPr>
      <w:r>
        <w:rPr>
          <w:rFonts w:ascii="Times New Roman" w:cs="Times New Roman" w:eastAsia="Times New Roman" w:hAnsi="Times New Roman"/>
          <w:sz w:val="18"/>
          <w:szCs w:val="18"/>
          <w:color w:val="auto"/>
        </w:rPr>
        <w:t>during the subscription period. In accordance with French law, the exercise period shall not be less than five trading days. Thus, the preferential subscription rights are transferable during a period equivalent to the subscription period but starting two business days prior to the opening of the subscription period and ending two business days prior to the closing of the subscription period, it being specified that if the business day starting one of these periods is not a trading day, the relevant period should start the preceding trading day.</w:t>
      </w:r>
    </w:p>
    <w:p>
      <w:pPr>
        <w:spacing w:after="0" w:line="24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Sources of Dividends</w:t>
      </w:r>
      <w:r>
        <w:rPr>
          <w:sz w:val="20"/>
          <w:szCs w:val="20"/>
          <w:color w:val="auto"/>
        </w:rPr>
        <w:tab/>
      </w:r>
      <w:r>
        <w:rPr>
          <w:rFonts w:ascii="Times New Roman" w:cs="Times New Roman" w:eastAsia="Times New Roman" w:hAnsi="Times New Roman"/>
          <w:sz w:val="17"/>
          <w:szCs w:val="17"/>
          <w:color w:val="auto"/>
        </w:rPr>
        <w:t>Under French law, dividends may only be</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xml:space="preserve">paid by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out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“distributable profits,” plus any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distributable reserves and “distributable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premium” that the shareholders decide 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make available for distribution, other than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those reserves that are specifically required</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law.</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right="120"/>
        <w:spacing w:after="0" w:line="251" w:lineRule="auto"/>
        <w:rPr>
          <w:sz w:val="20"/>
          <w:szCs w:val="20"/>
          <w:color w:val="auto"/>
        </w:rPr>
      </w:pPr>
      <w:r>
        <w:rPr>
          <w:rFonts w:ascii="Times New Roman" w:cs="Times New Roman" w:eastAsia="Times New Roman" w:hAnsi="Times New Roman"/>
          <w:sz w:val="18"/>
          <w:szCs w:val="18"/>
          <w:color w:val="auto"/>
        </w:rPr>
        <w:t>“Distributable profits” (</w:t>
      </w:r>
      <w:r>
        <w:rPr>
          <w:rFonts w:ascii="Times New Roman" w:cs="Times New Roman" w:eastAsia="Times New Roman" w:hAnsi="Times New Roman"/>
          <w:sz w:val="18"/>
          <w:szCs w:val="18"/>
          <w:i w:val="1"/>
          <w:iCs w:val="1"/>
          <w:color w:val="auto"/>
        </w:rPr>
        <w:t>bénéfices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distribuables</w:t>
      </w:r>
      <w:r>
        <w:rPr>
          <w:rFonts w:ascii="Times New Roman" w:cs="Times New Roman" w:eastAsia="Times New Roman" w:hAnsi="Times New Roman"/>
          <w:sz w:val="18"/>
          <w:szCs w:val="18"/>
          <w:color w:val="auto"/>
        </w:rPr>
        <w:t>) consist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net profits of the relevant corporation for each fiscal year, as increased or reduced by any profit or loss carried forward from prior years, less any contributions to the reserve accounts pursuant to French law.  </w:t>
      </w:r>
    </w:p>
    <w:p>
      <w:pPr>
        <w:spacing w:after="0" w:line="212" w:lineRule="exact"/>
        <w:rPr>
          <w:sz w:val="20"/>
          <w:szCs w:val="20"/>
          <w:color w:val="auto"/>
        </w:rPr>
      </w:pPr>
    </w:p>
    <w:p>
      <w:pPr>
        <w:ind w:left="2240" w:right="40"/>
        <w:spacing w:after="0" w:line="250" w:lineRule="auto"/>
        <w:rPr>
          <w:sz w:val="20"/>
          <w:szCs w:val="20"/>
          <w:color w:val="auto"/>
        </w:rPr>
      </w:pPr>
      <w:r>
        <w:rPr>
          <w:rFonts w:ascii="Times New Roman" w:cs="Times New Roman" w:eastAsia="Times New Roman" w:hAnsi="Times New Roman"/>
          <w:sz w:val="18"/>
          <w:szCs w:val="18"/>
          <w:color w:val="auto"/>
        </w:rPr>
        <w:t>“Distributable premium” refers to the contribution paid by the shareholders in addition to the par value of their shares for their subscription that the shareholders decide to make available for distribution.  </w:t>
      </w:r>
    </w:p>
    <w:p>
      <w:pPr>
        <w:spacing w:after="0" w:line="2" w:lineRule="exact"/>
        <w:rPr>
          <w:sz w:val="20"/>
          <w:szCs w:val="20"/>
          <w:color w:val="auto"/>
        </w:rPr>
      </w:pPr>
    </w:p>
    <w:p>
      <w:pPr>
        <w:ind w:left="2240" w:right="60"/>
        <w:spacing w:after="0" w:line="251" w:lineRule="auto"/>
        <w:rPr>
          <w:sz w:val="20"/>
          <w:szCs w:val="20"/>
          <w:color w:val="auto"/>
        </w:rPr>
      </w:pPr>
      <w:r>
        <w:rPr>
          <w:rFonts w:ascii="Times New Roman" w:cs="Times New Roman" w:eastAsia="Times New Roman" w:hAnsi="Times New Roman"/>
          <w:sz w:val="18"/>
          <w:szCs w:val="18"/>
          <w:color w:val="auto"/>
        </w:rPr>
        <w:t>Except in the case of a share capital reduction, no distribution can be made to the shareholders when the net equity is, or would become as a result of such distribution, lower than the amount of the share capital plus the reserves which cannot be distributed in accordance with the law or the by-laws.</w:t>
      </w: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39"/>
        <w:spacing w:after="0" w:line="252" w:lineRule="auto"/>
        <w:rPr>
          <w:sz w:val="20"/>
          <w:szCs w:val="20"/>
          <w:color w:val="auto"/>
        </w:rPr>
      </w:pPr>
      <w:r>
        <w:rPr>
          <w:rFonts w:ascii="Times New Roman" w:cs="Times New Roman" w:eastAsia="Times New Roman" w:hAnsi="Times New Roman"/>
          <w:sz w:val="18"/>
          <w:szCs w:val="18"/>
          <w:color w:val="auto"/>
        </w:rPr>
        <w:t>Under Delaware law, subject to any restrictions under a corporation’s certificate of incorporation, dividends may be declared by the board of directors and paid by a Delaware corporation either out of (1) surplus (as defined in, and computed in accordance with, Delaware law) or (2) in case there is no such surplus, out of its net profits for the fiscal year in which the dividend is declared and/or the preceding fiscal year, except when the Delaware statutory capital is diminished by depreciation in the value of its property, or by losses, or otherwise, to an amount less than the aggregate amount of capital represented by issued and outstanding stock having a preference on the distribution of assets.</w:t>
      </w:r>
    </w:p>
    <w:p>
      <w:pPr>
        <w:sectPr>
          <w:pgSz w:w="11900" w:h="16838" w:orient="portrait"/>
          <w:cols w:equalWidth="0" w:num="2">
            <w:col w:w="5340" w:space="240"/>
            <w:col w:w="343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24765</wp:posOffset>
            </wp:positionV>
            <wp:extent cx="19888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7" w:lineRule="exact"/>
        <w:rPr>
          <w:sz w:val="20"/>
          <w:szCs w:val="20"/>
          <w:color w:val="auto"/>
        </w:rPr>
      </w:pPr>
    </w:p>
    <w:p>
      <w:pPr>
        <w:ind w:left="2240" w:right="60" w:hanging="1943"/>
        <w:spacing w:after="0" w:line="254"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Repurchase of Shares</w:t>
      </w:r>
      <w:r>
        <w:rPr>
          <w:sz w:val="20"/>
          <w:szCs w:val="20"/>
          <w:color w:val="auto"/>
        </w:rPr>
        <w:tab/>
      </w:r>
      <w:r>
        <w:rPr>
          <w:rFonts w:ascii="Times New Roman" w:cs="Times New Roman" w:eastAsia="Times New Roman" w:hAnsi="Times New Roman"/>
          <w:sz w:val="18"/>
          <w:szCs w:val="18"/>
          <w:color w:val="auto"/>
        </w:rPr>
        <w:t>Under French law, a corporation may acquire its own shares. Such acquisition may be challenged on the ground of market abuse regulations. However, MAR provides for safe harbor exemptions when the acquisition is made for the following purposes:</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to decrease its share capital, provided</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that such decision is not driven by</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losses and that a purchase offer is made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to all shareholders on a pro rata basis,</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with the approval of the shareholders at</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extraordinary general meeting</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deciding the capital reduction, in which</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case, the shares repurchased must be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cancelled within one month from the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expiry of the purchase offer;</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with a view to distributing within one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year of their repurchase the relevant</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shares to employees or managers under</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a profit-sharing, restricted free share 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 option plan, not to exceed 10% of</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share capital; in which case the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shares repurchased must be distributed</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within 12 months from their</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repurchase, failing which they must be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cancelled; or</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to meet obligations arising from debt</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securities that are exchangeable into</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equity instruments.</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 simple exemption is provided when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acquisition is made under a liquidity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contract in the context of a buy-back</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program to be authorized by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shareholders in accordance with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provisions of Article L. 225-209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French Commercial Code and in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accordance with the AMF 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Regulations.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right="140"/>
        <w:spacing w:after="0" w:line="251" w:lineRule="auto"/>
        <w:rPr>
          <w:sz w:val="20"/>
          <w:szCs w:val="20"/>
          <w:color w:val="auto"/>
        </w:rPr>
      </w:pPr>
      <w:r>
        <w:rPr>
          <w:rFonts w:ascii="Times New Roman" w:cs="Times New Roman" w:eastAsia="Times New Roman" w:hAnsi="Times New Roman"/>
          <w:sz w:val="18"/>
          <w:szCs w:val="18"/>
          <w:color w:val="auto"/>
        </w:rPr>
        <w:t>All other purposes, and especially share buy-backs for external growth operations by virtue of Article L. 225-209 of the French Commercial Code, while not forbidden, must be pursued in strict compliance of market manipulations and insider dealing rules.  </w:t>
      </w:r>
    </w:p>
    <w:p>
      <w:pPr>
        <w:spacing w:after="0" w:line="2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Under Delaware law, a corporation may generally redeem or repurchase shares of its stock unless the Delaware statutory capital of the corporation is impaired or such redemption or repurchase would impair the capital of the corporation.</w:t>
      </w:r>
    </w:p>
    <w:p>
      <w:pPr>
        <w:sectPr>
          <w:pgSz w:w="11900" w:h="16838" w:orient="portrait"/>
          <w:cols w:equalWidth="0" w:num="2">
            <w:col w:w="5340" w:space="240"/>
            <w:col w:w="343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24765</wp:posOffset>
            </wp:positionV>
            <wp:extent cx="19888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ind w:left="2240" w:right="40"/>
        <w:spacing w:after="0" w:line="252" w:lineRule="auto"/>
        <w:rPr>
          <w:sz w:val="20"/>
          <w:szCs w:val="20"/>
          <w:color w:val="auto"/>
        </w:rPr>
      </w:pPr>
      <w:r>
        <w:rPr>
          <w:rFonts w:ascii="Times New Roman" w:cs="Times New Roman" w:eastAsia="Times New Roman" w:hAnsi="Times New Roman"/>
          <w:sz w:val="18"/>
          <w:szCs w:val="18"/>
          <w:color w:val="auto"/>
        </w:rPr>
        <w:t>Under the MAR and in accordance with the General Regulations of the AMF, a corporation shall report to the AMF, no later than by the end of the seventh daily market session following the date of the execution of the transaction, all transactions relating to the buy-back program in a detailed form and in an aggregated form. By exception, a corporation shall provide to the AMF, on a monthly basis, and to the public, on a biannual basis, a summary report of the transactions made under a liquidity contract.</w:t>
      </w:r>
    </w:p>
    <w:p>
      <w:pPr>
        <w:spacing w:after="0" w:line="24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Liability of Directors</w:t>
      </w:r>
      <w:r>
        <w:rPr>
          <w:sz w:val="20"/>
          <w:szCs w:val="20"/>
          <w:color w:val="auto"/>
        </w:rPr>
        <w:tab/>
      </w:r>
      <w:r>
        <w:rPr>
          <w:rFonts w:ascii="Times New Roman" w:cs="Times New Roman" w:eastAsia="Times New Roman" w:hAnsi="Times New Roman"/>
          <w:sz w:val="17"/>
          <w:szCs w:val="17"/>
          <w:color w:val="auto"/>
        </w:rPr>
        <w:t>Under French law, the by-laws may not</w:t>
      </w:r>
    </w:p>
    <w:p>
      <w:pPr>
        <w:spacing w:after="0" w:line="31" w:lineRule="exact"/>
        <w:rPr>
          <w:sz w:val="20"/>
          <w:szCs w:val="20"/>
          <w:color w:val="auto"/>
        </w:rPr>
      </w:pPr>
    </w:p>
    <w:p>
      <w:pPr>
        <w:ind w:left="2240" w:hanging="1943"/>
        <w:spacing w:after="0" w:line="255"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and Officers</w:t>
      </w:r>
      <w:r>
        <w:rPr>
          <w:sz w:val="20"/>
          <w:szCs w:val="20"/>
          <w:color w:val="auto"/>
        </w:rPr>
        <w:tab/>
      </w:r>
      <w:r>
        <w:rPr>
          <w:rFonts w:ascii="Times New Roman" w:cs="Times New Roman" w:eastAsia="Times New Roman" w:hAnsi="Times New Roman"/>
          <w:sz w:val="18"/>
          <w:szCs w:val="18"/>
          <w:color w:val="auto"/>
        </w:rPr>
        <w:t>include any provisions limiting the liability of the members of the executive and supervisory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7"/>
          <w:szCs w:val="17"/>
          <w:color w:val="auto"/>
        </w:rPr>
        <w:t>French law provides that, unless otherwise</w:t>
      </w:r>
    </w:p>
    <w:p>
      <w:pPr>
        <w:spacing w:after="0" w:line="31" w:lineRule="exact"/>
        <w:rPr>
          <w:sz w:val="20"/>
          <w:szCs w:val="20"/>
          <w:color w:val="auto"/>
        </w:rPr>
      </w:pPr>
    </w:p>
    <w:p>
      <w:pPr>
        <w:ind w:left="2240" w:right="20"/>
        <w:spacing w:after="0" w:line="251" w:lineRule="auto"/>
        <w:rPr>
          <w:sz w:val="20"/>
          <w:szCs w:val="20"/>
          <w:color w:val="auto"/>
        </w:rPr>
      </w:pPr>
      <w:r>
        <w:rPr>
          <w:rFonts w:ascii="Times New Roman" w:cs="Times New Roman" w:eastAsia="Times New Roman" w:hAnsi="Times New Roman"/>
          <w:sz w:val="18"/>
          <w:szCs w:val="18"/>
          <w:color w:val="auto"/>
        </w:rPr>
        <w:t>provided in the by-laws, each shareholder is entitled to one vote for each share of capital stock held by such shareholder. As of April 2016, double voting rights are automatically granted to the shares being registered since more than two years, unless the by-laws are modified in order to provide otherwise.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39"/>
        <w:spacing w:after="0" w:line="254"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generally include a provision eliminating or limiting the personal liability of a director to the corporation and its stockholders for damages arising from a breach of fiduciary duty as a director. However, no provision can limit the liability of a director for: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breach of the director’s duty of</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loyalty to the corporation or its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stockholders;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acts or omissions not in good faith or</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that involve intentional misconduct or a</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knowing violation of law;</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intentional or negligent payment of</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unlawful dividends or stock purchases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or redemptions; 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any transaction from which the director</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derives an improper personal benefit.</w:t>
      </w:r>
    </w:p>
    <w:p>
      <w:pPr>
        <w:spacing w:after="0" w:line="261"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 of capital stock held by such stockholder.</w:t>
      </w:r>
    </w:p>
    <w:p>
      <w:pPr>
        <w:spacing w:after="0" w:line="1053" w:lineRule="exact"/>
        <w:rPr>
          <w:sz w:val="20"/>
          <w:szCs w:val="20"/>
          <w:color w:val="auto"/>
        </w:rPr>
      </w:pPr>
    </w:p>
    <w:p>
      <w:pPr>
        <w:sectPr>
          <w:pgSz w:w="11900" w:h="16838" w:orient="portrait"/>
          <w:cols w:equalWidth="0" w:num="2">
            <w:col w:w="5340" w:space="240"/>
            <w:col w:w="3439"/>
          </w:cols>
          <w:pgMar w:left="1440" w:top="263" w:right="1440" w:bottom="1440" w:gutter="0" w:footer="0" w:header="0"/>
        </w:sectPr>
      </w:pPr>
    </w:p>
    <w:p>
      <w:pPr>
        <w:spacing w:after="0" w:line="44"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Shareholder Vote on</w:t>
      </w:r>
      <w:r>
        <w:rPr>
          <w:sz w:val="20"/>
          <w:szCs w:val="20"/>
          <w:color w:val="auto"/>
        </w:rPr>
        <w:tab/>
      </w:r>
      <w:r>
        <w:rPr>
          <w:rFonts w:ascii="Times New Roman" w:cs="Times New Roman" w:eastAsia="Times New Roman" w:hAnsi="Times New Roman"/>
          <w:sz w:val="17"/>
          <w:szCs w:val="17"/>
          <w:color w:val="auto"/>
        </w:rPr>
        <w:t>Generally, under French law, completion</w:t>
      </w:r>
    </w:p>
    <w:p>
      <w:pPr>
        <w:spacing w:after="0" w:line="31"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Certain Transactions</w:t>
      </w:r>
      <w:r>
        <w:rPr>
          <w:sz w:val="20"/>
          <w:szCs w:val="20"/>
          <w:color w:val="auto"/>
        </w:rPr>
        <w:tab/>
      </w:r>
      <w:r>
        <w:rPr>
          <w:rFonts w:ascii="Times New Roman" w:cs="Times New Roman" w:eastAsia="Times New Roman" w:hAnsi="Times New Roman"/>
          <w:sz w:val="17"/>
          <w:szCs w:val="17"/>
          <w:color w:val="auto"/>
        </w:rPr>
        <w:t>of a merger, or dissolution requires:</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99"/>
        <w:spacing w:after="0" w:line="312" w:lineRule="auto"/>
        <w:rPr>
          <w:sz w:val="20"/>
          <w:szCs w:val="20"/>
          <w:color w:val="auto"/>
        </w:rPr>
      </w:pPr>
      <w:r>
        <w:rPr>
          <w:rFonts w:ascii="Times New Roman" w:cs="Times New Roman" w:eastAsia="Times New Roman" w:hAnsi="Times New Roman"/>
          <w:sz w:val="17"/>
          <w:szCs w:val="17"/>
          <w:color w:val="auto"/>
        </w:rPr>
        <w:t>Generally, under Delaware law, unless the certificate of incorporation provides for</w:t>
      </w:r>
    </w:p>
    <w:p>
      <w:pPr>
        <w:sectPr>
          <w:pgSz w:w="11900" w:h="16838" w:orient="portrait"/>
          <w:cols w:equalWidth="0" w:num="2">
            <w:col w:w="5180" w:space="400"/>
            <w:col w:w="3439"/>
          </w:cols>
          <w:pgMar w:left="1440" w:top="263" w:right="1440" w:bottom="1440" w:gutter="0" w:footer="0" w:header="0"/>
          <w:type w:val="continuous"/>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2240" w:type="dxa"/>
        <w:tblCellMar>
          <w:top w:w="0" w:type="dxa"/>
          <w:left w:w="0" w:type="dxa"/>
          <w:bottom w:w="0" w:type="dxa"/>
          <w:right w:w="0" w:type="dxa"/>
        </w:tblCellMar>
      </w:tblPr>
      <w:tr>
        <w:trPr>
          <w:trHeight w:val="195"/>
        </w:trPr>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France</w:t>
            </w:r>
          </w:p>
        </w:tc>
      </w:tr>
      <w:tr>
        <w:trPr>
          <w:trHeight w:val="22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940" w:type="dxa"/>
            <w:vAlign w:val="bottom"/>
          </w:tcPr>
          <w:p>
            <w:pPr>
              <w:spacing w:after="0"/>
              <w:rPr>
                <w:sz w:val="19"/>
                <w:szCs w:val="19"/>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approval of the executive board;</w:t>
            </w:r>
          </w:p>
        </w:tc>
      </w:tr>
      <w:tr>
        <w:trPr>
          <w:trHeight w:val="216"/>
        </w:trPr>
        <w:tc>
          <w:tcPr>
            <w:tcW w:w="18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18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approval by a two-thirds majority of</w:t>
            </w:r>
          </w:p>
        </w:tc>
      </w:tr>
      <w:tr>
        <w:trPr>
          <w:trHeight w:val="216"/>
        </w:trPr>
        <w:tc>
          <w:tcPr>
            <w:tcW w:w="18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votes cast by the shareholders</w:t>
            </w:r>
          </w:p>
        </w:tc>
      </w:tr>
      <w:tr>
        <w:trPr>
          <w:trHeight w:val="216"/>
        </w:trPr>
        <w:tc>
          <w:tcPr>
            <w:tcW w:w="18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present, represented by proxy or voting</w:t>
            </w:r>
          </w:p>
        </w:tc>
      </w:tr>
      <w:tr>
        <w:trPr>
          <w:trHeight w:val="216"/>
        </w:trPr>
        <w:tc>
          <w:tcPr>
            <w:tcW w:w="18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mail at the relevant meeting, or in</w:t>
            </w:r>
          </w:p>
        </w:tc>
      </w:tr>
      <w:tr>
        <w:trPr>
          <w:trHeight w:val="216"/>
        </w:trPr>
        <w:tc>
          <w:tcPr>
            <w:tcW w:w="18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case of a merger with a non-EU</w:t>
            </w:r>
          </w:p>
        </w:tc>
      </w:tr>
      <w:tr>
        <w:trPr>
          <w:trHeight w:val="216"/>
        </w:trPr>
        <w:tc>
          <w:tcPr>
            <w:tcW w:w="18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approval of all the</w:t>
            </w:r>
          </w:p>
        </w:tc>
      </w:tr>
      <w:tr>
        <w:trPr>
          <w:trHeight w:val="234"/>
        </w:trPr>
        <w:tc>
          <w:tcPr>
            <w:tcW w:w="18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 of the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Dissent or Dissenters’</w:t>
      </w:r>
      <w:r>
        <w:rPr>
          <w:sz w:val="20"/>
          <w:szCs w:val="20"/>
          <w:color w:val="auto"/>
        </w:rPr>
        <w:tab/>
      </w:r>
      <w:r>
        <w:rPr>
          <w:rFonts w:ascii="Times New Roman" w:cs="Times New Roman" w:eastAsia="Times New Roman" w:hAnsi="Times New Roman"/>
          <w:sz w:val="17"/>
          <w:szCs w:val="17"/>
          <w:color w:val="auto"/>
        </w:rPr>
        <w:t>French law does not provide for any such</w:t>
      </w:r>
    </w:p>
    <w:p>
      <w:pPr>
        <w:spacing w:after="0" w:line="31" w:lineRule="exact"/>
        <w:rPr>
          <w:sz w:val="20"/>
          <w:szCs w:val="20"/>
          <w:color w:val="auto"/>
        </w:rPr>
      </w:pPr>
    </w:p>
    <w:p>
      <w:pPr>
        <w:jc w:val="both"/>
        <w:ind w:left="2240" w:right="140" w:hanging="1943"/>
        <w:spacing w:after="0" w:line="255"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8"/>
          <w:szCs w:val="18"/>
          <w:color w:val="auto"/>
        </w:rPr>
        <w:t>right but provides that a merger is subject to shareholders’ approval by a two-thirds majority vote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of a larger portion of the stock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other certain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a merger,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lease or exchange of all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of a corporation’s assets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approval of the board of directors;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approval by the vote of the holders of a</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majority of the outstanding stock or, if</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certificate of incorporation provides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more or less than one vote per</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share, a majority of the votes of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outstanding stock of a corporation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entitled to vote on the matter.</w:t>
      </w:r>
    </w:p>
    <w:p>
      <w:pPr>
        <w:spacing w:after="0" w:line="261"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Court of Chancery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stock of the surviving</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stock of another corporation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that are either listed on a national</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securities exchange or held of record by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more than 2,000 stockholders;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cash in lieu of fractional shares of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described in the two preceding</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bullet points; 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2">
            <w:col w:w="5360" w:space="220"/>
            <w:col w:w="343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80"/>
        <w:spacing w:after="0"/>
        <w:tabs>
          <w:tab w:leader="none" w:pos="6840" w:val="left"/>
        </w:tabs>
        <w:rPr>
          <w:sz w:val="20"/>
          <w:szCs w:val="20"/>
          <w:color w:val="auto"/>
        </w:rPr>
      </w:pPr>
      <w:r>
        <w:rPr>
          <w:rFonts w:ascii="Times New Roman" w:cs="Times New Roman" w:eastAsia="Times New Roman" w:hAnsi="Times New Roman"/>
          <w:sz w:val="14"/>
          <w:szCs w:val="14"/>
          <w:b w:val="1"/>
          <w:bCs w:val="1"/>
          <w:color w:val="auto"/>
        </w:rPr>
        <w:t>France</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24765</wp:posOffset>
            </wp:positionV>
            <wp:extent cx="4114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any combination of the above.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 addition, appraisal rights are not</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available to holders of shares of the</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surviving corporation in specified mergers</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that do not require the vote of the</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stockholders of the surviving corporation.</w:t>
      </w:r>
    </w:p>
    <w:p>
      <w:pPr>
        <w:sectPr>
          <w:pgSz w:w="11900" w:h="16838" w:orient="portrait"/>
          <w:cols w:equalWidth="0" w:num="1">
            <w:col w:w="9019"/>
          </w:cols>
          <w:pgMar w:left="1440" w:top="263" w:right="1440" w:bottom="1440" w:gutter="0" w:footer="0" w:header="0"/>
        </w:sectPr>
      </w:pPr>
    </w:p>
    <w:p>
      <w:pPr>
        <w:spacing w:after="0" w:line="25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Standard of Conduct</w:t>
      </w:r>
      <w:r>
        <w:rPr>
          <w:sz w:val="20"/>
          <w:szCs w:val="20"/>
          <w:color w:val="auto"/>
        </w:rPr>
        <w:tab/>
      </w:r>
      <w:r>
        <w:rPr>
          <w:rFonts w:ascii="Times New Roman" w:cs="Times New Roman" w:eastAsia="Times New Roman" w:hAnsi="Times New Roman"/>
          <w:sz w:val="17"/>
          <w:szCs w:val="17"/>
          <w:color w:val="auto"/>
        </w:rPr>
        <w:t>French law does not contain specific</w:t>
      </w:r>
    </w:p>
    <w:p>
      <w:pPr>
        <w:spacing w:after="0" w:line="31" w:lineRule="exact"/>
        <w:rPr>
          <w:sz w:val="20"/>
          <w:szCs w:val="20"/>
          <w:color w:val="auto"/>
        </w:rPr>
      </w:pPr>
    </w:p>
    <w:p>
      <w:pPr>
        <w:ind w:left="2240" w:hanging="1943"/>
        <w:spacing w:after="0" w:line="251" w:lineRule="auto"/>
        <w:tabs>
          <w:tab w:leader="none" w:pos="2220" w:val="left"/>
        </w:tabs>
        <w:rPr>
          <w:sz w:val="20"/>
          <w:szCs w:val="20"/>
          <w:color w:val="auto"/>
        </w:rPr>
      </w:pPr>
      <w:r>
        <w:rPr>
          <w:rFonts w:ascii="Times New Roman" w:cs="Times New Roman" w:eastAsia="Times New Roman" w:hAnsi="Times New Roman"/>
          <w:sz w:val="18"/>
          <w:szCs w:val="18"/>
          <w:b w:val="1"/>
          <w:bCs w:val="1"/>
          <w:color w:val="auto"/>
        </w:rPr>
        <w:t>for Directors</w:t>
      </w:r>
      <w:r>
        <w:rPr>
          <w:sz w:val="20"/>
          <w:szCs w:val="20"/>
          <w:color w:val="auto"/>
        </w:rPr>
        <w:tab/>
      </w:r>
      <w:r>
        <w:rPr>
          <w:rFonts w:ascii="Times New Roman" w:cs="Times New Roman" w:eastAsia="Times New Roman" w:hAnsi="Times New Roman"/>
          <w:sz w:val="18"/>
          <w:szCs w:val="18"/>
          <w:color w:val="auto"/>
        </w:rPr>
        <w:t>provisions setting forth the standard of conduct of an executive or supervisory board member. However, the members have a duty of loyalty, a duty to act without self-interest, on a well-informed basis and they cannot make any decision against a corporation’s corporate interest (</w:t>
      </w:r>
      <w:r>
        <w:rPr>
          <w:rFonts w:ascii="Times New Roman" w:cs="Times New Roman" w:eastAsia="Times New Roman" w:hAnsi="Times New Roman"/>
          <w:sz w:val="18"/>
          <w:szCs w:val="18"/>
          <w:i w:val="1"/>
          <w:iCs w:val="1"/>
          <w:color w:val="auto"/>
        </w:rPr>
        <w:t>intérêt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0"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Shareholder Actions</w:t>
      </w:r>
      <w:r>
        <w:rPr>
          <w:sz w:val="20"/>
          <w:szCs w:val="20"/>
          <w:color w:val="auto"/>
        </w:rPr>
        <w:tab/>
      </w:r>
      <w:r>
        <w:rPr>
          <w:rFonts w:ascii="Times New Roman" w:cs="Times New Roman" w:eastAsia="Times New Roman" w:hAnsi="Times New Roman"/>
          <w:sz w:val="17"/>
          <w:szCs w:val="17"/>
          <w:color w:val="auto"/>
        </w:rPr>
        <w:t>French law provides that a shareholder, or</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 group of shareholders, may initiate a</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legal action to seek indemnification from</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members of the executive board (but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not from the supervisory board members)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of a corporation in the corporation’s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interest if it fails to bring such legal action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itself. If so, any damages awarded by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court are paid to the corporation and any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legal fees relating to such action are borne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the relevant shareholder or group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shareholders. The plaintiff must remain a</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 throughout the duration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legal action. There is no other case where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shareholders may initiate a derivative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action to enforce a right of a corporation.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 shareholder may alternatively or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cumulatively, as the case may be, bring an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individual legal action against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members of the executive or supervisory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boards, provided he has suffered distinct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damages from those suffered by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corporation. In this case, any damages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awarded by the court are paid to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relevant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Delaware law, a stockholder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a derivative action to enforce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a corporation if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fails to enforce the right itself.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complaint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state that the plaintiff was a stockholder</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the time of the transaction of which</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plaintiff complains or that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plaintiff’s shares thereafter devolved 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plaintiff by operation of law; 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allege with particularity the efforts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made by the plaintiff to obtain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action the plaintiff desires from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directors and the reasons for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plaintiff’s failure to obtain the action;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state the reasons for not making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effort.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Additionally, the plaintiff must remain a stockholder through the duration of the derivative suit. The action will not be dismissed or settled without the approval of the Delaware Court of Chancery. Stockholders can also under some circumstances bring “direct” claims that belong only to the stockholder to challenge directors’ conduct.</w:t>
      </w:r>
    </w:p>
    <w:p>
      <w:pPr>
        <w:sectPr>
          <w:pgSz w:w="11900" w:h="16838" w:orient="portrait"/>
          <w:cols w:equalWidth="0" w:num="2">
            <w:col w:w="5360" w:space="220"/>
            <w:col w:w="3439"/>
          </w:cols>
          <w:pgMar w:left="1440" w:top="263" w:right="1440" w:bottom="1440" w:gutter="0" w:footer="0" w:header="0"/>
          <w:type w:val="continuous"/>
        </w:sectPr>
      </w:pPr>
    </w:p>
    <w:bookmarkStart w:id="86" w:name="page87"/>
    <w:bookmarkEnd w:id="86"/>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120" w:type="dxa"/>
            <w:vAlign w:val="bottom"/>
          </w:tcPr>
          <w:p>
            <w:pPr>
              <w:spacing w:after="0"/>
              <w:rPr>
                <w:sz w:val="13"/>
                <w:szCs w:val="13"/>
                <w:color w:val="auto"/>
              </w:rPr>
            </w:pPr>
          </w:p>
        </w:tc>
      </w:tr>
      <w:tr>
        <w:trPr>
          <w:trHeight w:val="405"/>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France</w:t>
            </w:r>
          </w:p>
        </w:tc>
      </w:tr>
      <w:tr>
        <w:trPr>
          <w:trHeight w:val="221"/>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 of</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Unlike companies incorporated under</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Certificate of</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Delaware law, the organizational</w:t>
            </w:r>
          </w:p>
        </w:tc>
      </w:tr>
      <w:tr>
        <w:trPr>
          <w:trHeight w:val="22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documents of which comprise both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and by-laws,</w:t>
            </w:r>
          </w:p>
        </w:tc>
      </w:tr>
      <w:tr>
        <w:trPr>
          <w:trHeight w:val="214"/>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companies incorporated under French law</w:t>
            </w: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only have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as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documents. As indicated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 paragraph below, only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shareholders’ meeting is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authorized to adopt or amend the by-laws</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under French law.</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19888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Delaware law, generally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may amend its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its board of directors has adopted a</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resolution setting forth the amendment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proposed and declared its advisability,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amendment is adopted by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affirmative votes of a majority (or</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greater percentage as may be specified</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by the corporation) of the voting power</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of the outstanding shares entitled to</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vote on the amendment and a majority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(or greater percentage as may be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specified by the corporation) of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voting power of the outstanding shares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of each class or series of stock, if any,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entitled to vote on the amendment as a</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class or series.</w:t>
      </w:r>
    </w:p>
    <w:p>
      <w:pPr>
        <w:spacing w:after="0" w:line="200" w:lineRule="exact"/>
        <w:rPr>
          <w:sz w:val="20"/>
          <w:szCs w:val="20"/>
          <w:color w:val="auto"/>
        </w:rPr>
      </w:pPr>
    </w:p>
    <w:p>
      <w:pPr>
        <w:sectPr>
          <w:pgSz w:w="11900" w:h="16838" w:orient="portrait"/>
          <w:cols w:equalWidth="0" w:num="2">
            <w:col w:w="5360" w:space="220"/>
            <w:col w:w="3439"/>
          </w:cols>
          <w:pgMar w:left="1440" w:top="262" w:right="1440" w:bottom="1440" w:gutter="0" w:footer="0" w:header="0"/>
        </w:sectPr>
      </w:pPr>
    </w:p>
    <w:p>
      <w:pPr>
        <w:spacing w:after="0" w:line="5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Amendment of By-</w:t>
      </w:r>
      <w:r>
        <w:rPr>
          <w:sz w:val="20"/>
          <w:szCs w:val="20"/>
          <w:color w:val="auto"/>
        </w:rPr>
        <w:tab/>
      </w:r>
      <w:r>
        <w:rPr>
          <w:rFonts w:ascii="Times New Roman" w:cs="Times New Roman" w:eastAsia="Times New Roman" w:hAnsi="Times New Roman"/>
          <w:sz w:val="17"/>
          <w:szCs w:val="17"/>
          <w:color w:val="auto"/>
        </w:rPr>
        <w:t>Under French law, only the extraordinary</w:t>
      </w:r>
    </w:p>
    <w:p>
      <w:pPr>
        <w:spacing w:after="0" w:line="31"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laws</w:t>
      </w:r>
      <w:r>
        <w:rPr>
          <w:sz w:val="20"/>
          <w:szCs w:val="20"/>
          <w:color w:val="auto"/>
        </w:rPr>
        <w:tab/>
      </w:r>
      <w:r>
        <w:rPr>
          <w:rFonts w:ascii="Times New Roman" w:cs="Times New Roman" w:eastAsia="Times New Roman" w:hAnsi="Times New Roman"/>
          <w:sz w:val="18"/>
          <w:szCs w:val="18"/>
          <w:color w:val="auto"/>
        </w:rPr>
        <w:t>shareholders’ meeting is authorized 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adopt or amend the by-laws.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extraordinary shareholders’ meeting may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authorize the supervisory board to amend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by-laws to comply with legal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provisions, subject to the ratification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such amendments by the next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extraordinary shareholders’ meeting.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supervisory board is authorized to amend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by-laws as a result of a decision 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relocate the company’s registered office in</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France, subject to ratification by the next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ordinary shareholders’ meeting.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Under Delaware law, the stockholders entitled to vote have the power to adopt, amend or repeal by-laws. A corporation may also confer, in its certificate of incorporation, that power upon the board of directors.</w:t>
      </w:r>
    </w:p>
    <w:p>
      <w:pPr>
        <w:spacing w:after="0" w:line="1908" w:lineRule="exact"/>
        <w:rPr>
          <w:sz w:val="20"/>
          <w:szCs w:val="20"/>
          <w:color w:val="auto"/>
        </w:rPr>
      </w:pPr>
    </w:p>
    <w:p>
      <w:pPr>
        <w:sectPr>
          <w:pgSz w:w="11900" w:h="16838" w:orient="portrait"/>
          <w:cols w:equalWidth="0" w:num="2">
            <w:col w:w="5300" w:space="280"/>
            <w:col w:w="3439"/>
          </w:cols>
          <w:pgMar w:left="1440" w:top="262" w:right="1440" w:bottom="1440" w:gutter="0" w:footer="0" w:header="0"/>
          <w:type w:val="continuous"/>
        </w:sectPr>
      </w:pP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19" w:lineRule="exact"/>
        <w:rPr>
          <w:sz w:val="20"/>
          <w:szCs w:val="20"/>
          <w:color w:val="auto"/>
        </w:rPr>
      </w:pPr>
    </w:p>
    <w:p>
      <w:pPr>
        <w:ind w:left="300" w:right="339"/>
        <w:spacing w:after="0" w:line="273" w:lineRule="auto"/>
        <w:rPr>
          <w:sz w:val="20"/>
          <w:szCs w:val="20"/>
          <w:color w:val="auto"/>
        </w:rPr>
      </w:pPr>
      <w:r>
        <w:rPr>
          <w:rFonts w:ascii="Times New Roman" w:cs="Times New Roman" w:eastAsia="Times New Roman" w:hAnsi="Times New Roman"/>
          <w:sz w:val="17"/>
          <w:szCs w:val="17"/>
          <w:color w:val="auto"/>
        </w:rPr>
        <w:t xml:space="preserve">Our legal and commercial name is Nanobiotix S.A. We were incorporated as a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under the laws of the French Republic on March 4, 2003 for a period of 99 years. We are registered at the Paris </w:t>
      </w:r>
      <w:r>
        <w:rPr>
          <w:rFonts w:ascii="Times New Roman" w:cs="Times New Roman" w:eastAsia="Times New Roman" w:hAnsi="Times New Roman"/>
          <w:sz w:val="17"/>
          <w:szCs w:val="17"/>
          <w:i w:val="1"/>
          <w:iCs w:val="1"/>
          <w:color w:val="auto"/>
        </w:rPr>
        <w:t>Registre du Commerce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et des Sociétés </w:t>
      </w:r>
      <w:r>
        <w:rPr>
          <w:rFonts w:ascii="Times New Roman" w:cs="Times New Roman" w:eastAsia="Times New Roman" w:hAnsi="Times New Roman"/>
          <w:sz w:val="17"/>
          <w:szCs w:val="17"/>
          <w:color w:val="auto"/>
        </w:rPr>
        <w:t>under the number 447 521 600. Our principal executive offices are located at 60, rue de Wattignies,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75012 Paris, France, and our telephone number is +33 1 40 26 04 70. Our agent for service of process in the United States is our U.S. subsidiary, Nanobiotix Corporation, located at 210 Broadway, Cambridge, Massachusetts 02139. Our ordinary shares began trading on the regulated market of Euronext in Paris in October 2012. Our ADSs began trading on the Nasdaq Global Select Market on December 11, 2020. Our fiscal year ends December 31.</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Global Select Market under the symbol “NBTX” and our ordinary shares are listed on the regulated market of Euronext in Paris under the symbol “NANO.”</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ADSs is Citibank, N.A. The transfer agent and registrar for our ordinary shares is CIC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21" w:lineRule="exact"/>
        <w:rPr>
          <w:sz w:val="20"/>
          <w:szCs w:val="20"/>
          <w:color w:val="auto"/>
        </w:rPr>
      </w:pPr>
    </w:p>
    <w:p>
      <w:pPr>
        <w:ind w:left="300" w:right="1179"/>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or series of preferred shares will be described in the related prospectus supplement. This description will include, where applicable, a description of:</w:t>
      </w:r>
    </w:p>
    <w:p>
      <w:pPr>
        <w:spacing w:after="0" w:line="54"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nominal value of the preferred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we are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preferred share (or if applicable, the calculation formula of the issue price per preferred share);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preferential subscription rights will be issued to existing shareholders;</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preferred share, dividend period and payment dates and method of calculation for dividends, provided that certain conditions of French law, which are described below, are met;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(preferred dividend if any) and rights if we liquidate, dissolve or wind up the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ordinary shares (including ordinary shares represented by ADSs) or preferred shares of another category, and, if applicable, conditions of an automatic conversion into ordinary shares (including ordinary shares represented by ADSs), if any, the conversion period, the conversion price, or how such price will be calculated, and under what circumstances it may be adjusted;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shares will be represented by American Depositary preferred shares;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and French income tax considerations applicable to the preferred shares;</w:t>
      </w:r>
    </w:p>
    <w:p>
      <w:pPr>
        <w:spacing w:after="0" w:line="53"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attached to the preferred shares regarding the corporate governance of our company, which may include, for example representation rights to the supervisory board of the Company; and</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54"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Prior to issuing preferred shares, we must convene an extraordinary shareholders meeting at which shareholders would determine the terms and conditions of the preferred shares, decide the issuance of the preferred shares or delegate authority to the executive board of the Company to decide the issuance and vote to modify the by-laws in order to include the characteristics and particular rights of the preferred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would also decide the maximum aggregate amount of share capital increases which we may carry out by issuing preferred shares, which may not exceed a specified amount of gross issue proceeds to be determined.</w:t>
      </w:r>
    </w:p>
    <w:p>
      <w:pPr>
        <w:spacing w:after="0" w:line="6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Under French law, any payment of dividends to the holders of preferred shares is subject to the following: (i) our net earnings (“</w:t>
      </w:r>
      <w:r>
        <w:rPr>
          <w:rFonts w:ascii="Times New Roman" w:cs="Times New Roman" w:eastAsia="Times New Roman" w:hAnsi="Times New Roman"/>
          <w:sz w:val="18"/>
          <w:szCs w:val="18"/>
          <w:i w:val="1"/>
          <w:iCs w:val="1"/>
          <w:color w:val="auto"/>
        </w:rPr>
        <w:t>bénéfice distribuable</w:t>
      </w:r>
      <w:r>
        <w:rPr>
          <w:rFonts w:ascii="Times New Roman" w:cs="Times New Roman" w:eastAsia="Times New Roman" w:hAnsi="Times New Roman"/>
          <w:sz w:val="18"/>
          <w:szCs w:val="18"/>
          <w:color w:val="auto"/>
        </w:rPr>
        <w:t>”) must be sufficient and available for distribution as indicated in the certified unconsolidated financial statements, and (ii) the vote by the annual shareholders meeting of a resolution approving such distribution of dividends to the holders of preferred shares.</w:t>
      </w:r>
    </w:p>
    <w:p>
      <w:pPr>
        <w:spacing w:after="0" w:line="72"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When we issue preferred shares under this prospectus, the shares will be fully paid and non-assessable and, to the extent permitted under French law, will not have, or be subject to, any preemptive or similar rights.</w:t>
      </w:r>
    </w:p>
    <w:p>
      <w:pPr>
        <w:spacing w:after="0" w:line="54" w:lineRule="exact"/>
        <w:rPr>
          <w:sz w:val="20"/>
          <w:szCs w:val="20"/>
          <w:color w:val="auto"/>
        </w:rPr>
      </w:pPr>
    </w:p>
    <w:p>
      <w:pPr>
        <w:ind w:left="300" w:right="439"/>
        <w:spacing w:after="0" w:line="281" w:lineRule="auto"/>
        <w:rPr>
          <w:sz w:val="20"/>
          <w:szCs w:val="20"/>
          <w:color w:val="auto"/>
        </w:rPr>
      </w:pPr>
      <w:r>
        <w:rPr>
          <w:rFonts w:ascii="Times New Roman" w:cs="Times New Roman" w:eastAsia="Times New Roman" w:hAnsi="Times New Roman"/>
          <w:sz w:val="17"/>
          <w:szCs w:val="17"/>
          <w:color w:val="auto"/>
        </w:rPr>
        <w:t>The issuance of preferred shares could adversely affect the voting power of holders of ordinary shares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our preferred or ordinary shares, or any combination of the foregoing. Each warrant will entitle the holder to purchase the number of preferred shares, ordinary shares, or combination thereof, as the case may be, at the exercise price and in the manner specified in the prospectus supplement relating to such warrants. Warrants may be exercised at any time up to the date and time specified in the applicable warrant agreement and set forth in the applicable prospectus supplement.</w:t>
      </w:r>
    </w:p>
    <w:p>
      <w:pPr>
        <w:spacing w:after="0" w:line="75"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Warrants will be issued under one or more warrant agreements (which may be the warrant instrument itself) to be entered into between the Company and one or more purchasers of such warrants or a bank or trust company acting as warrant agent. The material terms and provisions of such warrants to be issued and a description of the material provisions of the applicable warrant agreement will be set forth in the applicable prospectus supplement. The form of warrant agreement that will be entered into with respect to a particular offering of warrants will be filed as an exhibit to a post-effective amendment to, or incorporated by reference into, the registration statement of which this prospectus forms a part.</w:t>
      </w:r>
    </w:p>
    <w:p>
      <w:pPr>
        <w:spacing w:after="0" w:line="81"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warrants in respect of which this prospectus and such prospectus supplement is being delivered, which terms may include the following if applicable to those warrants:</w:t>
      </w:r>
    </w:p>
    <w:p>
      <w:pPr>
        <w:spacing w:after="0" w:line="68"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warrants are denominated;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for the purchase of preferred shares, the designation and terms of the series of preferred shares and the number of such preferred shares that may be purchased upon exercise of each warrant; the price, or the manner of determining the price, at which the preferred shares may be purchased upon the exercise of the warrants;</w:t>
      </w:r>
    </w:p>
    <w:p>
      <w:pPr>
        <w:spacing w:after="0" w:line="71"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for the purchase of ordinary shares, the number of ordinary shares that may be purchased upon exercise of each warrant; the price, or the manner of determining the price, at which the ordinary shares may be purchased upon the exercise of the warrants;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securities purchasable upon exercise of such warrants may be purchased;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cash, the manner in which the exercise price of the warrants may be paid; and any maximum or minimum number of warrants that may be exercisable at any one time;</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times at which, or period or periods during which, the warrants may be exercised and the expiration date of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 of the Company to redeem the warrants;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 of the Company to accelerate the exercise of the warrants upon the occurrence of certain events;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sold with any other securities, and the date, if any, on and after which the warrants and the other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or bearer form and information with respect to book-entry procedures, if any;</w:t>
      </w:r>
    </w:p>
    <w:p>
      <w:pPr>
        <w:spacing w:after="0" w:line="53"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tax, accounting and other special considerations, procedures and limitations relating to the warrants; and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such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2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Citibank, N.A. (“Citibank”) is the depositary for the American Depositary Shares related to our ordinary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Europe plc, located at 1 North Wall Quay, Dublin Ireland.</w:t>
      </w:r>
    </w:p>
    <w:p>
      <w:pPr>
        <w:spacing w:after="0" w:line="7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and as an exhibit to the registration statement of which this prospectus forms a part. You may obtain a copy of the deposit agreement from the SEC’s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Please refer to Registration Number 333-250880 when retrieving such copy.</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7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interests in, one ordinary share that is on deposit with the depositary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such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88"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obtain regulatory approvals and successfully complete pre-marketing regulatory requirements in certain circumstances. You are solely responsible for complying with such reporting requirements, obtaining such approvals and completing such requirements. Neither the depositary, the custodian, us nor any of their or our respective agents or affiliates shall be required to take any actions whatsoever on your behalf to satisfy such reporting requirements, obtain such regulatory approvals or complete such requirements under applicable laws and regulations.</w:t>
      </w:r>
    </w:p>
    <w:p>
      <w:pPr>
        <w:spacing w:after="0" w:line="77"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French law governs shareholder rights. The depositary will be the holder of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In the event of a discrepancy between the ADRs and the deposit agreement, the deposit agreement governs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83"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ordinary shares your ADSs represent, held as of a specified record date and after deduction of the applicable fees, taxes and expenses.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from the custodian of the deposit of the requisite funds, the depositary bank will arrange for the funds received in a currency other than U.S. dollars to be converted into U.S. dollars and for the distribution of the U.S. dollars to the holders, subject to French laws and regulations.</w:t>
      </w:r>
    </w:p>
    <w:p>
      <w:pPr>
        <w:spacing w:after="0" w:line="72"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68"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7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Whenever we intend to distribute rights to purchase additional ordinary shares (including through the allocation of </w:t>
      </w:r>
      <w:r>
        <w:rPr>
          <w:rFonts w:ascii="Times New Roman" w:cs="Times New Roman" w:eastAsia="Times New Roman" w:hAnsi="Times New Roman"/>
          <w:sz w:val="18"/>
          <w:szCs w:val="18"/>
          <w:i w:val="1"/>
          <w:iCs w:val="1"/>
          <w:color w:val="auto"/>
        </w:rPr>
        <w:t xml:space="preserve">bons de souscription d’actions </w:t>
      </w:r>
      <w:r>
        <w:rPr>
          <w:rFonts w:ascii="Times New Roman" w:cs="Times New Roman" w:eastAsia="Times New Roman" w:hAnsi="Times New Roman"/>
          <w:sz w:val="18"/>
          <w:szCs w:val="18"/>
          <w:color w:val="auto"/>
        </w:rPr>
        <w:t>(BSAs)), we will give prior notice to the depositary and we will assist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whether it is lawful and reasonably practicable to distribute rights to subscribe for additional ADSs to holders.</w:t>
      </w:r>
    </w:p>
    <w:p>
      <w:pPr>
        <w:spacing w:after="0" w:line="7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19" w:lineRule="exact"/>
        <w:rPr>
          <w:sz w:val="20"/>
          <w:szCs w:val="20"/>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17"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72"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50"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72"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000" w:right="35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 after consultation with us.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Ordinary Shares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ADRs for new ADRs and take any other actions that are appropriate to reflect as to the ADSs the change affecting the ordinary shares held in deposit for your ADSs. If the depositary bank may not lawfully distribute such property to you, the depositary may sell such property and distribute the net proceeds to you as in the case of a cash distribution.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Ordinary Shares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After the completion of an offering of ADSs, the ordinary shares that are being offered for sale pursuant to this prospectus supplement in such offering will be deposited by us with the custodian. Upon receipt of confirmation of such deposit, the depositary will issue ADSs to the applicable underwriter, dealer, agent or other purchaser.</w:t>
      </w:r>
    </w:p>
    <w:p>
      <w:pPr>
        <w:spacing w:after="0" w:line="68"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75"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depositary will only issue ADSs in whole numbers.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54"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17"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an ADR holder, you will be entitled to transfer, combine or split up your ADRs and the ADSs evidenced thereby.</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transfers of ADRs, you will have to surrender the ADRs to be transferred to the depositary and also must:</w:t>
      </w:r>
    </w:p>
    <w:p>
      <w:pPr>
        <w:spacing w:after="0" w:line="117"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54"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or, at your request, risk and expense, at such other place as you request.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8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1000" w:right="3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(1) the transfer books for the ordinary shares or ADSs are closed, or (2) ordinary shares are immobilized on account of a shareholders’ meeting or a payment of dividends;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or</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72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300" w:right="1480"/>
        <w:spacing w:after="0" w:line="261"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titled “Description of Share Capital” and “Limitations Affecting Shareholders of a French Company.”</w:t>
      </w:r>
    </w:p>
    <w:p>
      <w:pPr>
        <w:spacing w:after="0" w:line="72" w:lineRule="exact"/>
        <w:rPr>
          <w:sz w:val="20"/>
          <w:szCs w:val="20"/>
          <w:color w:val="auto"/>
        </w:rPr>
      </w:pPr>
    </w:p>
    <w:p>
      <w:pPr>
        <w:ind w:left="1300" w:right="1420"/>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68" w:lineRule="exact"/>
        <w:rPr>
          <w:sz w:val="20"/>
          <w:szCs w:val="20"/>
          <w:color w:val="auto"/>
        </w:rPr>
      </w:pPr>
    </w:p>
    <w:p>
      <w:pPr>
        <w:ind w:left="1300" w:right="134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in accordance with such voting instructions.</w:t>
      </w:r>
    </w:p>
    <w:p>
      <w:pPr>
        <w:spacing w:after="0" w:line="54" w:lineRule="exact"/>
        <w:rPr>
          <w:sz w:val="20"/>
          <w:szCs w:val="20"/>
          <w:color w:val="auto"/>
        </w:rPr>
      </w:pPr>
    </w:p>
    <w:p>
      <w:pPr>
        <w:ind w:left="1300" w:right="1400"/>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68" w:lineRule="exact"/>
        <w:rPr>
          <w:sz w:val="20"/>
          <w:szCs w:val="20"/>
          <w:color w:val="auto"/>
        </w:rPr>
      </w:pPr>
    </w:p>
    <w:p>
      <w:pPr>
        <w:ind w:left="1300" w:right="1300"/>
        <w:spacing w:after="0" w:line="254" w:lineRule="auto"/>
        <w:rPr>
          <w:sz w:val="20"/>
          <w:szCs w:val="20"/>
          <w:color w:val="auto"/>
        </w:rPr>
      </w:pPr>
      <w:r>
        <w:rPr>
          <w:rFonts w:ascii="Times New Roman" w:cs="Times New Roman" w:eastAsia="Times New Roman" w:hAnsi="Times New Roman"/>
          <w:sz w:val="18"/>
          <w:szCs w:val="18"/>
          <w:color w:val="auto"/>
        </w:rPr>
        <w:t>If the depositary receives voting instructions from a holder of ADSs that fail to specify the manner in which the depositary is to vote, the depositary will deem such holder (unless otherwise specified in the notice distributed to holders) to have instructed the depositary to vote in favor of all resolutions endorsed by the members of our supervisory board. With respect to securities represented by ADSs for which no timely voting instructions are received by the depositary from the holder, the depositary will (unless otherwise specified in the notice distributed to holders) deem such holder to have instructed the depositary to give a discretionary proxy to a person designated by us to vote the securities. However, no such discretionary proxy will be given by the depositary with respect to any matter to be voted upon as to which we inform the depositary that we do not wish such proxy to be given, substantial opposition exists, or the rights of holders of securities may be materially adversely affected.</w:t>
      </w:r>
    </w:p>
    <w:p>
      <w:pPr>
        <w:spacing w:after="0" w:line="80" w:lineRule="exact"/>
        <w:rPr>
          <w:sz w:val="20"/>
          <w:szCs w:val="20"/>
          <w:color w:val="auto"/>
        </w:rPr>
      </w:pPr>
    </w:p>
    <w:p>
      <w:pPr>
        <w:ind w:left="1300" w:right="1360"/>
        <w:spacing w:after="0" w:line="258" w:lineRule="auto"/>
        <w:rPr>
          <w:sz w:val="20"/>
          <w:szCs w:val="20"/>
          <w:color w:val="auto"/>
        </w:rPr>
      </w:pPr>
      <w:r>
        <w:rPr>
          <w:rFonts w:ascii="Times New Roman" w:cs="Times New Roman" w:eastAsia="Times New Roman" w:hAnsi="Times New Roman"/>
          <w:sz w:val="18"/>
          <w:szCs w:val="18"/>
          <w:color w:val="auto"/>
        </w:rPr>
        <w:t>As long as, pursuant to French law, a double voting right is attached to each ordinary share which is held in registered form in the name of the same shareholder for at least two years, ordinary shares deposited with the depositary will not be entitled to double voting rights. Therefore, holders of ADSs who wish to obtain double voting rights will need to surrender their ADSs, withdraw the deposited shares, and take the necessary steps to hold such ordinary shares in registered form in the holder’s name for at least two years.</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00" w:type="dxa"/>
            <w:vAlign w:val="bottom"/>
          </w:tcPr>
          <w:p>
            <w:pPr>
              <w:spacing w:after="0"/>
              <w:rPr>
                <w:sz w:val="16"/>
                <w:szCs w:val="16"/>
                <w:color w:val="auto"/>
              </w:rPr>
            </w:pPr>
          </w:p>
        </w:tc>
        <w:tc>
          <w:tcPr>
            <w:tcW w:w="28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300" w:type="dxa"/>
            <w:vAlign w:val="bottom"/>
          </w:tcPr>
          <w:p>
            <w:pPr>
              <w:spacing w:after="0"/>
              <w:rPr>
                <w:sz w:val="16"/>
                <w:szCs w:val="16"/>
                <w:color w:val="auto"/>
              </w:rPr>
            </w:pPr>
          </w:p>
        </w:tc>
      </w:tr>
      <w:tr>
        <w:trPr>
          <w:trHeight w:val="205"/>
        </w:trPr>
        <w:tc>
          <w:tcPr>
            <w:tcW w:w="1300" w:type="dxa"/>
            <w:vAlign w:val="bottom"/>
          </w:tcPr>
          <w:p>
            <w:pPr>
              <w:spacing w:after="0"/>
              <w:rPr>
                <w:sz w:val="17"/>
                <w:szCs w:val="17"/>
                <w:color w:val="auto"/>
              </w:rPr>
            </w:pPr>
          </w:p>
        </w:tc>
        <w:tc>
          <w:tcPr>
            <w:tcW w:w="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Issuance of ADSs (e.g., an issuance of ADS(s) upon a deposit of</w:t>
            </w:r>
          </w:p>
        </w:tc>
        <w:tc>
          <w:tcPr>
            <w:tcW w:w="200" w:type="dxa"/>
            <w:vAlign w:val="bottom"/>
          </w:tcPr>
          <w:p>
            <w:pPr>
              <w:spacing w:after="0"/>
              <w:rPr>
                <w:sz w:val="17"/>
                <w:szCs w:val="17"/>
                <w:color w:val="auto"/>
              </w:rPr>
            </w:pPr>
          </w:p>
        </w:tc>
        <w:tc>
          <w:tcPr>
            <w:tcW w:w="2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Up to U.S. 5¢ per ADS issued</w:t>
            </w:r>
          </w:p>
        </w:tc>
        <w:tc>
          <w:tcPr>
            <w:tcW w:w="130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upon a change in the ADS(s)-to-ordinary shares</w:t>
            </w: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 or for any other reason), excluding ADS issuances as a result</w:t>
            </w: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distributions of ordinary shares pursuant to stock dividends or</w:t>
            </w: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free stock distributions or to the exercise of rights to purchase</w:t>
            </w: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ADSs</w:t>
            </w: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w:t>
            </w:r>
          </w:p>
        </w:tc>
        <w:tc>
          <w:tcPr>
            <w:tcW w:w="2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cancelled</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deposited ordinary shares, upon a change in the ADS(s)-to-ordinary</w:t>
            </w: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ratio, or for any other reason)</w:t>
            </w: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w:t>
            </w:r>
          </w:p>
        </w:tc>
        <w:tc>
          <w:tcPr>
            <w:tcW w:w="2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held</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sale of rights and other entitlements)</w:t>
            </w: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 free</w:t>
            </w:r>
          </w:p>
        </w:tc>
        <w:tc>
          <w:tcPr>
            <w:tcW w:w="2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held</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distributions, or (ii) exercise of rights to purchase additional</w:t>
            </w: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ADSs</w:t>
            </w: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756"/>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16510</wp:posOffset>
            </wp:positionV>
            <wp:extent cx="34290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4" w:lineRule="exact"/>
        <w:rPr>
          <w:sz w:val="20"/>
          <w:szCs w:val="20"/>
          <w:color w:val="auto"/>
        </w:rPr>
      </w:pPr>
    </w:p>
    <w:p>
      <w:pPr>
        <w:ind w:left="720" w:right="280" w:hanging="428"/>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other than ADSs or rights to purchase additional ADSs (e.g., upon a spin-off)</w:t>
      </w:r>
    </w:p>
    <w:p>
      <w:pPr>
        <w:spacing w:after="0" w:line="161"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720" w:right="40" w:hanging="428"/>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(e.g., upon a registration of the transfer of registered ownership of ADSs, upon a transfer of ADSs into DTC and vice versa, or for any other reason)</w:t>
      </w:r>
    </w:p>
    <w:p>
      <w:pPr>
        <w:spacing w:after="0" w:line="175" w:lineRule="exact"/>
        <w:rPr>
          <w:rFonts w:ascii="Times New Roman" w:cs="Times New Roman" w:eastAsia="Times New Roman" w:hAnsi="Times New Roman"/>
          <w:sz w:val="18"/>
          <w:szCs w:val="18"/>
          <w:color w:val="auto"/>
        </w:rPr>
      </w:pPr>
    </w:p>
    <w:p>
      <w:pPr>
        <w:ind w:left="720" w:hanging="428"/>
        <w:spacing w:after="0" w:line="261"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(e.g., upon conversion of Partial Entitlement ADSs for Full Entitlement ADSs, or upon conversion of Restricted ADSs into freely transferable ADSs, and vice versa)</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7830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held</w:t>
      </w:r>
    </w:p>
    <w:p>
      <w:pPr>
        <w:spacing w:after="0" w:line="200" w:lineRule="exact"/>
        <w:rPr>
          <w:sz w:val="20"/>
          <w:szCs w:val="20"/>
          <w:color w:val="auto"/>
        </w:rPr>
      </w:pPr>
    </w:p>
    <w:p>
      <w:pPr>
        <w:spacing w:after="0" w:line="241" w:lineRule="exact"/>
        <w:rPr>
          <w:sz w:val="20"/>
          <w:szCs w:val="20"/>
          <w:color w:val="auto"/>
        </w:rPr>
      </w:pPr>
    </w:p>
    <w:p>
      <w:pPr>
        <w:ind w:right="479"/>
        <w:spacing w:after="0" w:line="266"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transferred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converted</w:t>
      </w:r>
    </w:p>
    <w:p>
      <w:pPr>
        <w:spacing w:after="0" w:line="886" w:lineRule="exact"/>
        <w:rPr>
          <w:sz w:val="20"/>
          <w:szCs w:val="20"/>
          <w:color w:val="auto"/>
        </w:rPr>
      </w:pPr>
    </w:p>
    <w:p>
      <w:pPr>
        <w:sectPr>
          <w:pgSz w:w="11900" w:h="16838" w:orient="portrait"/>
          <w:cols w:equalWidth="0" w:num="2">
            <w:col w:w="5560" w:space="340"/>
            <w:col w:w="3119"/>
          </w:cols>
          <w:pgMar w:left="1440" w:top="263" w:right="1440" w:bottom="1440" w:gutter="0" w:footer="0" w:header="0"/>
        </w:sectPr>
      </w:pPr>
    </w:p>
    <w:p>
      <w:pPr>
        <w:ind w:left="30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conversion service providers in connection with the conversion of foreign currency, such fees, expenses, spreads, taxes, and other charges to be deducted from the foreign currency;</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holders and beneficial owners of ADSs in complying with currency exchange control or other governmental requirements;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costs and expenses incurred by the depositary, the custodian, or any nominee in connection with the servicing or delivery of deposited property.</w:t>
      </w:r>
    </w:p>
    <w:p>
      <w:pPr>
        <w:spacing w:after="0" w:line="5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87"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ADS fees and charges (such as the ADS service fee) may become payable shortly after the closing of an ADS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8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68"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68"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117" w:lineRule="exact"/>
        <w:rPr>
          <w:sz w:val="20"/>
          <w:szCs w:val="20"/>
          <w:color w:val="auto"/>
        </w:rPr>
      </w:pPr>
    </w:p>
    <w:p>
      <w:pPr>
        <w:ind w:left="1000" w:right="57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the market value of any ordinary shares or the market value of any distribution on any ordinary shares, for any interest on ordinary shares (other than interest actually received by the depositary),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the custodian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79"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By-laws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jc w:val="both"/>
        <w:ind w:left="1000" w:right="45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action or inaction of any clearing or settlement system (and any participant of such system) for the ordinary shares or the ADSs.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53" w:lineRule="exact"/>
        <w:rPr>
          <w:rFonts w:ascii="Times New Roman" w:cs="Times New Roman" w:eastAsia="Times New Roman" w:hAnsi="Times New Roman"/>
          <w:sz w:val="18"/>
          <w:szCs w:val="18"/>
          <w:color w:val="auto"/>
        </w:rPr>
      </w:pPr>
    </w:p>
    <w:p>
      <w:pPr>
        <w:ind w:left="1000" w:right="639" w:hanging="348"/>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99"/>
        <w:spacing w:after="0" w:line="282" w:lineRule="auto"/>
        <w:rPr>
          <w:sz w:val="20"/>
          <w:szCs w:val="20"/>
          <w:color w:val="auto"/>
        </w:rPr>
      </w:pPr>
      <w:r>
        <w:rPr>
          <w:rFonts w:ascii="Times New Roman" w:cs="Times New Roman" w:eastAsia="Times New Roman" w:hAnsi="Times New Roman"/>
          <w:sz w:val="18"/>
          <w:szCs w:val="18"/>
          <w:color w:val="auto"/>
        </w:rPr>
        <w:t>agreement. You may have to pay fees and expenses incurred in converting foreign currency, such as fees and expenses incurred in complying with currency exchange controls and other governmental requirements.</w:t>
      </w:r>
    </w:p>
    <w:p>
      <w:pPr>
        <w:spacing w:after="0" w:line="54"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1000" w:right="33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21"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The deposit agreement, the ADSs, and the ADRs will be interpreted in accordance with the laws of the State of New York. The rights of holders of ordinary shares (including ordinary shares represented by ADSs) are governed by the laws of France.</w:t>
      </w:r>
    </w:p>
    <w:p>
      <w:pPr>
        <w:spacing w:after="0" w:line="68"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68"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depository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37" w:lineRule="exact"/>
        <w:rPr>
          <w:sz w:val="20"/>
          <w:szCs w:val="20"/>
          <w:color w:val="auto"/>
        </w:rPr>
      </w:pPr>
    </w:p>
    <w:p>
      <w:pPr>
        <w:ind w:left="300" w:right="2619"/>
        <w:spacing w:after="0" w:line="393" w:lineRule="auto"/>
        <w:rPr>
          <w:sz w:val="20"/>
          <w:szCs w:val="20"/>
          <w:color w:val="auto"/>
        </w:rPr>
      </w:pPr>
      <w:r>
        <w:rPr>
          <w:rFonts w:ascii="Times New Roman" w:cs="Times New Roman" w:eastAsia="Times New Roman" w:hAnsi="Times New Roman"/>
          <w:sz w:val="18"/>
          <w:szCs w:val="18"/>
          <w:b w:val="1"/>
          <w:bCs w:val="1"/>
          <w:color w:val="auto"/>
        </w:rPr>
        <w:t>LIMITATIONS AFFECTING SHAREHOLDERS OF A FRENCH COMPANY Ownership of ADSs or Shares by Non-French Residents</w:t>
      </w:r>
    </w:p>
    <w:p>
      <w:pPr>
        <w:spacing w:after="0" w:line="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Neither the French Commercial Code nor our By-laws presently impose any restrictions on the right of non-French residents or non-French shareholders to own and vote shares.</w:t>
      </w:r>
    </w:p>
    <w:p>
      <w:pPr>
        <w:spacing w:after="0" w:line="5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However,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Times New Roman" w:cs="Times New Roman" w:eastAsia="Times New Roman" w:hAnsi="Times New Roman"/>
          <w:sz w:val="18"/>
          <w:szCs w:val="18"/>
          <w:i w:val="1"/>
          <w:iCs w:val="1"/>
          <w:color w:val="auto"/>
        </w:rPr>
        <w:t>Banque de France</w:t>
      </w:r>
      <w:r>
        <w:rPr>
          <w:rFonts w:ascii="Times New Roman" w:cs="Times New Roman" w:eastAsia="Times New Roman" w:hAnsi="Times New Roman"/>
          <w:sz w:val="18"/>
          <w:szCs w:val="18"/>
          <w:color w:val="auto"/>
        </w:rPr>
        <w:t>) within twenty business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Further, any investment:</w:t>
      </w:r>
    </w:p>
    <w:p>
      <w:pPr>
        <w:spacing w:after="0" w:line="117" w:lineRule="exact"/>
        <w:rPr>
          <w:sz w:val="20"/>
          <w:szCs w:val="20"/>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any non-French citizen, (b) any French citizen not residing in France, (c) any non-French entity or</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French entity controlled by one of the aforementioned persons or entities;</w:t>
      </w:r>
    </w:p>
    <w:p>
      <w:pPr>
        <w:spacing w:after="0" w:line="99" w:lineRule="exact"/>
        <w:rPr>
          <w:sz w:val="20"/>
          <w:szCs w:val="20"/>
          <w:color w:val="auto"/>
        </w:rPr>
      </w:pPr>
    </w:p>
    <w:p>
      <w:pPr>
        <w:ind w:left="1000" w:right="39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w:t>
      </w:r>
    </w:p>
    <w:p>
      <w:pPr>
        <w:spacing w:after="0" w:line="7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is subject to the prior authorization of the French Ministry of Economy, which authorization may be conditioned on certain undertakings.</w:t>
      </w:r>
    </w:p>
    <w:p>
      <w:pPr>
        <w:spacing w:after="0" w:line="5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the context of the ongoing COVID-19 pandemic, the Decree (</w:t>
      </w:r>
      <w:r>
        <w:rPr>
          <w:rFonts w:ascii="Times New Roman" w:cs="Times New Roman" w:eastAsia="Times New Roman" w:hAnsi="Times New Roman"/>
          <w:sz w:val="18"/>
          <w:szCs w:val="18"/>
          <w:i w:val="1"/>
          <w:iCs w:val="1"/>
          <w:color w:val="auto"/>
        </w:rPr>
        <w:t>décret</w:t>
      </w:r>
      <w:r>
        <w:rPr>
          <w:rFonts w:ascii="Times New Roman" w:cs="Times New Roman" w:eastAsia="Times New Roman" w:hAnsi="Times New Roman"/>
          <w:sz w:val="18"/>
          <w:szCs w:val="18"/>
          <w:color w:val="auto"/>
        </w:rPr>
        <w:t>) n"2020-892 dated July 22, 2020, as amended by the Decree (</w:t>
      </w:r>
      <w:r>
        <w:rPr>
          <w:rFonts w:ascii="Times New Roman" w:cs="Times New Roman" w:eastAsia="Times New Roman" w:hAnsi="Times New Roman"/>
          <w:sz w:val="18"/>
          <w:szCs w:val="18"/>
          <w:i w:val="1"/>
          <w:iCs w:val="1"/>
          <w:color w:val="auto"/>
        </w:rPr>
        <w:t>décret</w:t>
      </w:r>
      <w:r>
        <w:rPr>
          <w:rFonts w:ascii="Times New Roman" w:cs="Times New Roman" w:eastAsia="Times New Roman" w:hAnsi="Times New Roman"/>
          <w:sz w:val="18"/>
          <w:szCs w:val="18"/>
          <w:color w:val="auto"/>
        </w:rPr>
        <w:t>) n"2021-1758 dated December 22, 2021, has created until December 31, 2022 a new 10% threshold of the voting rights for the non-European investments (i) in an entity governed by French law and (ii) whose shares are admitted to trading on a 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77"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November 5, 2020, the French Ministry of Economy informed us that our activities are subject to the foreign investment control regime described above. Therefore, investments in our company with the effect of crossing the above thresholds by investors meeting the above criteria are subject to prior authorization by the French Ministry of Economy.</w:t>
      </w:r>
    </w:p>
    <w:p>
      <w:pPr>
        <w:spacing w:after="0" w:line="72" w:lineRule="exact"/>
        <w:rPr>
          <w:sz w:val="20"/>
          <w:szCs w:val="20"/>
          <w:color w:val="auto"/>
        </w:rPr>
      </w:pPr>
    </w:p>
    <w:p>
      <w:pPr>
        <w:ind w:left="300" w:right="339"/>
        <w:spacing w:after="0" w:line="276" w:lineRule="auto"/>
        <w:rPr>
          <w:sz w:val="20"/>
          <w:szCs w:val="20"/>
          <w:color w:val="auto"/>
        </w:rPr>
      </w:pPr>
      <w:r>
        <w:rPr>
          <w:rFonts w:ascii="Times New Roman" w:cs="Times New Roman" w:eastAsia="Times New Roman" w:hAnsi="Times New Roman"/>
          <w:sz w:val="17"/>
          <w:szCs w:val="17"/>
          <w:color w:val="auto"/>
        </w:rPr>
        <w:t>If an investment requiring the prior authorization of the French Minister of Economy is completed without such authorization having been granted, the French Minister of Economy might direct the relevant investor to nonetheless</w:t>
      </w:r>
    </w:p>
    <w:p>
      <w:pPr>
        <w:spacing w:after="0" w:line="1" w:lineRule="exact"/>
        <w:rPr>
          <w:sz w:val="20"/>
          <w:szCs w:val="20"/>
          <w:color w:val="auto"/>
        </w:rPr>
      </w:pPr>
    </w:p>
    <w:p>
      <w:pPr>
        <w:ind w:left="300" w:right="359" w:hanging="8"/>
        <w:spacing w:after="0" w:line="253" w:lineRule="auto"/>
        <w:tabs>
          <w:tab w:leader="none" w:pos="5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for authorization, (ii) have the previous situation restored at its own expense or (iii) amend the investment. 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Exchange Controls</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Availability of Preferential Subscription Rights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accordance with French law, our shareholders have the preferential subscription rights described under the section of this prospectus titled “Description of Share Capital—Key Provisions of Our By-laws and French Law Affecting Our Ordinary Shares—Changes in Share Capital—Preferential Subscription Right.” Under French law, shareholders have preferential rights to subscribe for cash issues of new shares or other securities giving rights to acquire additional new shares on a pro rata basis. Holders of our securities in the United States (which may be in the form of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shares or other securities giving rights to acquire additional new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shares or other securities. We intend to evaluate at the time of any rights offering the costs and potential liabilities associated with registering the rights, as well as the indirect benefits to us of enabling the exercise by holders of shares and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8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For holders of ADSs representing our shares, the depositary may make these rights or other distributions available to ADS holders. If the depositary does not make the rights available to ADS holders and determines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See also “Part I, Item 3.D. Risk Factors—Risks Related to the Ownership of Our Ordinary Shares and ADSs and Risks related to our Status as a Non-U.S. Company” of our Annual Report, as updated by our subsequent Annual Reports, Reports on Form 6-K and the other documents incorporated by reference herein.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21"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The selling shareholder listed below may from time to time offer the Ordinary Shares held by such selling shareholder and offered by this prospectus and the applicable prospectus supplement. The table below, which is based upon information provided to us by the selling shareholder, sets forth information with respect to the beneficial ownership of our Ordinary Shares for the selling shareholder.</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 information is not necessarily indicative of beneficial ownership for any other purpose. In general, under the SEC’s rules, a beneficial owner of a security includes any person who, directly or indirectly, through any contract, arrangement, understanding, relationship or otherwise has or shares voting power or investment power with respect to such security. A person is also deemed to be a beneficial owner of a security if that person has the right to acquire beneficial ownership of such security within 60 days. Ordinary Shares that a person has the right to acquire within 60 days are deemed outstanding for purposes of computing the percentage ownership of the person holding such rights, but are not deemed outstanding for purposes of computing the percentage ownership of any other person.</w:t>
      </w:r>
    </w:p>
    <w:p>
      <w:pPr>
        <w:spacing w:after="0" w:line="84"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selling shareholder originally acquired the Ordinary Shares included in this prospectus pursuant to a Securities Purchase Agreement between the selling shareholder and the Company on July 7, 2023.</w:t>
      </w:r>
    </w:p>
    <w:p>
      <w:pPr>
        <w:spacing w:after="0" w:line="54" w:lineRule="exact"/>
        <w:rPr>
          <w:sz w:val="20"/>
          <w:szCs w:val="20"/>
          <w:color w:val="auto"/>
        </w:rPr>
      </w:pPr>
    </w:p>
    <w:p>
      <w:pPr>
        <w:ind w:left="300" w:right="319"/>
        <w:spacing w:after="0" w:line="312" w:lineRule="auto"/>
        <w:rPr>
          <w:sz w:val="20"/>
          <w:szCs w:val="20"/>
          <w:color w:val="auto"/>
        </w:rPr>
      </w:pPr>
      <w:r>
        <w:rPr>
          <w:rFonts w:ascii="Times New Roman" w:cs="Times New Roman" w:eastAsia="Times New Roman" w:hAnsi="Times New Roman"/>
          <w:sz w:val="17"/>
          <w:szCs w:val="17"/>
          <w:color w:val="auto"/>
        </w:rPr>
        <w:t>For purposes of the table below, the number of Ordinary Shares outstanding and the percentage of beneficial ownership is computed on the basis of 47,426,851 Ordinary Shares issued and outstanding as of December 31, 2024.</w:t>
      </w:r>
    </w:p>
    <w:p>
      <w:pPr>
        <w:spacing w:after="0" w:line="3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accordance with French law, a double voting right is attached to each Ordinary Share held in registered form in the name of the same shareholder for at least two years. Ordinary Shares held in the form of ADSs are not eligible for double voting rights. For purposes of the table below, the number of total voting rights outstanding and the percentage of outstanding voting rights is computed on the basis of 49,186,541 voting rights exercisable at a shareholders’ meeting (calculated without taking into account shares for which voting rights have been suspended as shares held in treasury by the Company) as of December 31, 2024.</w:t>
      </w:r>
    </w:p>
    <w:p>
      <w:pPr>
        <w:spacing w:after="0" w:line="7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selling shareholder listed in the table below may have sold, transferred, otherwise disposed of or purchased, or may sell, transfer, otherwise dispose of or purchase, at any time and from time to time, Ordinary Shares in transactions exempt from the registration requirements of the Securities Act, or in the open market after the date on which the selling shareholder provided the information set forth in the table below.</w:t>
      </w:r>
    </w:p>
    <w:p>
      <w:pPr>
        <w:spacing w:after="0" w:line="72"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Information concerning the selling shareholder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 Unless otherwise indicated below, the address of the selling shareholder is 410 George Street, New Brunswick, NJ 08901.</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 Prior to the</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 Assuming</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Sale of All Ordinary Shares Offered by</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by the Selling Shareholder</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the Selling Shareholder</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Being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182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1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23"/>
        </w:trPr>
        <w:tc>
          <w:tcPr>
            <w:tcW w:w="18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&amp; Johnson</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Innovation-JJDC,</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Inc.</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5,623,816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9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11.43%</w:t>
            </w:r>
          </w:p>
        </w:tc>
        <w:tc>
          <w:tcPr>
            <w:tcW w:w="9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5,623,816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0.00%</w:t>
            </w:r>
          </w:p>
        </w:tc>
        <w:tc>
          <w:tcPr>
            <w:tcW w:w="1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54"/>
        </w:trPr>
        <w:tc>
          <w:tcPr>
            <w:tcW w:w="1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41"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reported in the table above are directly beneficially owned by Johnson &amp; Johnson Innovation-JJDC, Inc., a Delaware corporation (“JJDC”). JJDC is a wholly-owned subsidiary of Johnson &amp; Johnson, a New Jersey corporation (“J&amp;J”). J&amp;J may be deemed to indirectly beneficially own the securities that are directly beneficially owned by JJDC.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or the selling shareholder may offer and sell the securities described herein:</w:t>
      </w:r>
    </w:p>
    <w:p>
      <w:pPr>
        <w:spacing w:after="0" w:line="117" w:lineRule="exact"/>
        <w:rPr>
          <w:sz w:val="20"/>
          <w:szCs w:val="20"/>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broker-dealers;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distribution of securities may be carried out, from time to time, in one or more transactions, including:</w:t>
      </w:r>
    </w:p>
    <w:p>
      <w:pPr>
        <w:spacing w:after="0" w:line="117" w:lineRule="exact"/>
        <w:rPr>
          <w:sz w:val="20"/>
          <w:szCs w:val="20"/>
          <w:color w:val="auto"/>
        </w:rPr>
      </w:pPr>
    </w:p>
    <w:p>
      <w:pPr>
        <w:ind w:left="1000" w:right="53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in which a broker-dealer may attempt to sell securities as agent, but may position and resell a portion of the block as principal;</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Global Select Market or any other organized market where such securities may be listed or quoted at the time;</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54"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specific offering of securities, including the following, to the extent applicable:</w:t>
      </w:r>
    </w:p>
    <w:p>
      <w:pPr>
        <w:spacing w:after="0" w:line="68"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and the proceeds to us from that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commissions to be allowed or paid to the underwriters, dealers or agents;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and commissions to be allowed or paid to dealers, if any;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Underwriters may offer and sell the securities for us or the selling shareholder at a fixed price or prices, which may be changed, or from time to time at market prices prevailing at the time of sale, at prices related to prevailing market prices or at negotiated prices. We or the selling shareholder may, from time to time, authorize agents acting on a best or reasonable efforts basis as agents to solicit or receive offers to purchase the securities upon the terms and conditions as are set forth in an applicable prospectus supplement. In connection with the sale of securities, underwriters or agents may be deemed to have received compensation from us or the selling shareholder in the form of underwriting discounts or commissions and may also receive commissions from purchasers of securities for whom they may act as agent. Underwriters may sell securities to or through dealers, and dealers may receive compensation in the form of discounts, concessions or commissions from the underwriters and/or commissions from the purchasers for whom they may act as agent.</w:t>
      </w:r>
    </w:p>
    <w:p>
      <w:pPr>
        <w:spacing w:after="0" w:line="86"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Underwriters, dealers and agents who participate in the distribution of securities and their controlling persons may be entitled, under agreements that may be entered into with us and the selling shareholder to indemnification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Some of the securities that we may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75"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an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1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 xml:space="preserve">We are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(“S.A.”) organized under the laws of France. The majority of our supervisory board members and executive board members are citizens and residents of countries other than the United States, and the majority of our assets are located outside of the United States. We have appointed Nanobiotix Corporation as agent for service of process in the United States; however, U.S. investors may find it difficult and may be unable:</w:t>
      </w:r>
    </w:p>
    <w:p>
      <w:pPr>
        <w:spacing w:after="0" w:line="74" w:lineRule="exact"/>
        <w:rPr>
          <w:sz w:val="20"/>
          <w:szCs w:val="20"/>
          <w:color w:val="auto"/>
        </w:rPr>
      </w:pPr>
    </w:p>
    <w:p>
      <w:pPr>
        <w:ind w:left="1000" w:right="67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jurisdiction over us or our executive board members and supervisory board members in U.S. courts in actions predicated on the civil liability provisions of the U.S. federal securities laws;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in U.S. courts judgments obtained in such actions against us or our executive board members and supervisory board members;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French court to enforce liabilities based upon the U.S. federal securities laws against us or our executive board members or our supervisory board members; and/or</w:t>
      </w:r>
    </w:p>
    <w:p>
      <w:pPr>
        <w:spacing w:after="0" w:line="53"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against us or our executive board members and supervisory board members in non-U.S. courts, including French courts, judgments of U.S. courts predicated upon the civil liability provisions of the U.S. federal securities laws.</w:t>
      </w:r>
    </w:p>
    <w:p>
      <w:pPr>
        <w:spacing w:after="0" w:line="68"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the judgment is enforceable in the United States, (2) the judgment does not contravene international public order and French public policy both pertaining to the merits and the procedure, including due process and (3) the judgment was rendered by a federal or state court having jurisdiction over the matter, which means that the dispute must be sufficiently connected to the United States and not fall under the scope of the French courts’ exclusive jurisdiction. The French court would also require that the U.S. judgment is not tainted with fraud and is not incompatible with a judgment rendered by a French court in the same matter, or with an earlier judgment rendered by a foreign court in the same matter.</w:t>
      </w:r>
    </w:p>
    <w:p>
      <w:pPr>
        <w:spacing w:after="0" w:line="82"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In particular, the recognition and/or enforcement in France of a judgment rendered by any federal or state court in the United States granting damages exceeding the actual damage, such as punitive or exemplary damages, would be uncertain.</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As a result, the enforcement, by U.S. investors, of any judgments obtained in U.S. courts in civil and commercial matters, including judgments under the U.S. federal securities law against us or members of our executive or supervisory boards, our other officers or certain experts named herein who are residents of France or countries other than the United States would be subject to the above conditions.</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Finally, there may be doubt as to whether a French court would impose civil liability on us, members of our executive or supervisory boards, our other officers or certain experts named herein in an original action predicated solely upon the U.S. federal securities laws brought in a court of competent jurisdiction in France against us or such members, officers or experts,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material U.S. federal income tax consequences, if any, relating to the purchase, ownership and disposition of our securities offered by this prospectus will be set forth in the prospectus supplement pertaining to the offering of such securities.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ordinary shares, including ordinary shares in the form of ADSs, the preferred shares, the warrants and certain legal matters relating to French law will be passed upon by Jones Day, Paris, France, and the validity of the warrants and certain legal matters relating to U.S. federal and New York law will be passed upon by Jones Day, New York, New York. Any underwriters, dealers or agents will be advised about other issues relating to any offering by their own legal counsel. Additional legal matters may be passed upon for the selling shareholder by counsel that would be named, if applicable, in the applicable prospectus supplement.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consolidated financial statements of Nanobiotix S.A. appearing in Nanobiotix S.A.’s Annual Report (Form 20-</w:t>
      </w:r>
    </w:p>
    <w:p>
      <w:pPr>
        <w:spacing w:after="0" w:line="39" w:lineRule="exact"/>
        <w:rPr>
          <w:sz w:val="20"/>
          <w:szCs w:val="20"/>
          <w:color w:val="auto"/>
        </w:rPr>
      </w:pPr>
    </w:p>
    <w:p>
      <w:pPr>
        <w:jc w:val="both"/>
        <w:ind w:left="300" w:right="559" w:hanging="8"/>
        <w:spacing w:after="0" w:line="253" w:lineRule="auto"/>
        <w:tabs>
          <w:tab w:leader="none" w:pos="5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have been audited by Ernst &amp; Young et Autres,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1" w:lineRule="exact"/>
        <w:rPr>
          <w:sz w:val="20"/>
          <w:szCs w:val="20"/>
          <w:color w:val="auto"/>
        </w:rPr>
      </w:pPr>
    </w:p>
    <w:p>
      <w:pPr>
        <w:ind w:left="300" w:right="1179"/>
        <w:spacing w:after="0" w:line="282" w:lineRule="auto"/>
        <w:rPr>
          <w:sz w:val="20"/>
          <w:szCs w:val="20"/>
          <w:color w:val="auto"/>
        </w:rPr>
      </w:pPr>
      <w:r>
        <w:rPr>
          <w:rFonts w:ascii="Times New Roman" w:cs="Times New Roman" w:eastAsia="Times New Roman" w:hAnsi="Times New Roman"/>
          <w:sz w:val="18"/>
          <w:szCs w:val="18"/>
          <w:color w:val="auto"/>
        </w:rPr>
        <w:t>The offices of Ernst &amp; Young et Autres are located at Tour First, 1 place des Saisons, 92400 Courbevoie, 92037 Paris – La Défense Cedex, France.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securities described in this prospectus. A related registration statement on Form F-6 has been filed with the SEC to register the ADSs. This prospectus, which forms a part of the registration statement, does not contain all of the information included in the registration statement.</w:t>
      </w:r>
    </w:p>
    <w:p>
      <w:pPr>
        <w:spacing w:after="0" w:line="70" w:lineRule="exact"/>
        <w:rPr>
          <w:sz w:val="20"/>
          <w:szCs w:val="20"/>
          <w:color w:val="auto"/>
        </w:rPr>
      </w:pPr>
    </w:p>
    <w:p>
      <w:pPr>
        <w:ind w:left="300" w:right="379"/>
        <w:spacing w:after="0" w:line="284" w:lineRule="auto"/>
        <w:rPr>
          <w:sz w:val="20"/>
          <w:szCs w:val="20"/>
          <w:color w:val="auto"/>
        </w:rPr>
      </w:pPr>
      <w:r>
        <w:rPr>
          <w:rFonts w:ascii="Times New Roman" w:cs="Times New Roman" w:eastAsia="Times New Roman" w:hAnsi="Times New Roman"/>
          <w:sz w:val="18"/>
          <w:szCs w:val="18"/>
          <w:color w:val="auto"/>
        </w:rPr>
        <w:t>The SEC maintains a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and other information regarding registrants, such as Nanobiotix, that file electronically with the SEC.</w:t>
      </w:r>
    </w:p>
    <w:p>
      <w:pPr>
        <w:spacing w:after="0" w:line="5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and under those requirements file reports with the SEC. Accordingly, we are required to file or furnish reports and other information with the SEC, including Annual Reports and Reports on Form 6-K. As a foreign private issuer, we are exempt from the rules under the Exchange Act related to the furnishing and content of proxy statements, and our executive board members, supervisory board members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spacing w:after="0" w:line="82" w:lineRule="exact"/>
        <w:rPr>
          <w:sz w:val="20"/>
          <w:szCs w:val="20"/>
          <w:color w:val="auto"/>
        </w:rPr>
      </w:pPr>
    </w:p>
    <w:p>
      <w:pPr>
        <w:ind w:left="300" w:right="339"/>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www.nanobiotix.com</w:t>
      </w:r>
      <w:r>
        <w:rPr>
          <w:rFonts w:ascii="Times New Roman" w:cs="Times New Roman" w:eastAsia="Times New Roman" w:hAnsi="Times New Roman"/>
          <w:sz w:val="18"/>
          <w:szCs w:val="18"/>
          <w:color w:val="auto"/>
        </w:rPr>
        <w:t>. Information contained on, or that can be accessed through, our website does not constitute a part of this prospectus. We have included our website address in this prospectus solely as an inactive textual reference.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and any accompanying prospectus supplement the information we have filed with the SEC. This means that we can disclose important information by referring you to another document filed separately with the SEC. The information incorporated by reference is considered to be a part of this prospectus, and information that we file later with the SEC will also be deemed to be incorporated by reference into this prospectus and to be a part hereof from the date of filing of such documents and will automatically update and supersede previously filed information, including information contained in this document. We incorporate by reference into this prospectus the following documents that we have filed with the SEC:</w:t>
      </w:r>
    </w:p>
    <w:p>
      <w:pPr>
        <w:spacing w:after="0" w:line="81" w:lineRule="exact"/>
        <w:rPr>
          <w:sz w:val="20"/>
          <w:szCs w:val="20"/>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for the year ended December 31, 2023, filed with the SEC on </w:t>
      </w:r>
      <w:hyperlink r:id="rId151">
        <w:r>
          <w:rPr>
            <w:rFonts w:ascii="Times New Roman" w:cs="Times New Roman" w:eastAsia="Times New Roman" w:hAnsi="Times New Roman"/>
            <w:sz w:val="18"/>
            <w:szCs w:val="18"/>
            <w:u w:val="single" w:color="auto"/>
            <w:color w:val="0000EE"/>
          </w:rPr>
          <w:t>April 24,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right="3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filed with the SEC on </w:t>
      </w:r>
      <w:hyperlink r:id="rId152">
        <w:r>
          <w:rPr>
            <w:rFonts w:ascii="Times New Roman" w:cs="Times New Roman" w:eastAsia="Times New Roman" w:hAnsi="Times New Roman"/>
            <w:sz w:val="18"/>
            <w:szCs w:val="18"/>
            <w:u w:val="single" w:color="auto"/>
            <w:color w:val="0000EE"/>
          </w:rPr>
          <w:t>September 4, 2024</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EE"/>
          </w:rPr>
          <w:t>September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(report including our Half-Year Financial Report From January 1, 2024 to June 30, 2024), </w:t>
      </w:r>
      <w:hyperlink r:id="rId154">
        <w:r>
          <w:rPr>
            <w:rFonts w:ascii="Times New Roman" w:cs="Times New Roman" w:eastAsia="Times New Roman" w:hAnsi="Times New Roman"/>
            <w:sz w:val="18"/>
            <w:szCs w:val="18"/>
            <w:u w:val="single" w:color="auto"/>
            <w:color w:val="0000EE"/>
          </w:rPr>
          <w:t>November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the information under the captions “Third Quarter 2024 Operational Highlights” and “Third Quarter Financial Updates”), </w:t>
      </w:r>
      <w:hyperlink r:id="rId155">
        <w:r>
          <w:rPr>
            <w:rFonts w:ascii="Times New Roman" w:cs="Times New Roman" w:eastAsia="Times New Roman" w:hAnsi="Times New Roman"/>
            <w:sz w:val="18"/>
            <w:szCs w:val="18"/>
            <w:u w:val="single" w:color="auto"/>
            <w:color w:val="0000EE"/>
          </w:rPr>
          <w:t>December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the last two paragraphs preceding “About NBTXR3”), and </w:t>
      </w:r>
      <w:hyperlink r:id="rId156">
        <w:r>
          <w:rPr>
            <w:rFonts w:ascii="Times New Roman" w:cs="Times New Roman" w:eastAsia="Times New Roman" w:hAnsi="Times New Roman"/>
            <w:sz w:val="18"/>
            <w:szCs w:val="18"/>
            <w:u w:val="single" w:color="auto"/>
            <w:color w:val="0000EE"/>
          </w:rPr>
          <w:t>January 21,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with respect to the first paragraph thereof);</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ADSs representing our ordinary shares contained in our Registration Statement on Form 8-A filed with the SEC on </w:t>
      </w:r>
      <w:hyperlink r:id="rId75">
        <w:r>
          <w:rPr>
            <w:rFonts w:ascii="Times New Roman" w:cs="Times New Roman" w:eastAsia="Times New Roman" w:hAnsi="Times New Roman"/>
            <w:sz w:val="18"/>
            <w:szCs w:val="18"/>
            <w:u w:val="single" w:color="auto"/>
            <w:color w:val="0000EE"/>
          </w:rPr>
          <w:t>December 8, 2020</w:t>
        </w:r>
      </w:hyperlink>
      <w:r>
        <w:rPr>
          <w:rFonts w:ascii="Times New Roman" w:cs="Times New Roman" w:eastAsia="Times New Roman" w:hAnsi="Times New Roman"/>
          <w:sz w:val="18"/>
          <w:szCs w:val="18"/>
          <w:color w:val="auto"/>
        </w:rPr>
        <w:t xml:space="preserve">, including any amendments or reports filed for the purpose of updating such description, including </w:t>
      </w:r>
      <w:hyperlink r:id="rId76">
        <w:r>
          <w:rPr>
            <w:rFonts w:ascii="Times New Roman" w:cs="Times New Roman" w:eastAsia="Times New Roman" w:hAnsi="Times New Roman"/>
            <w:sz w:val="18"/>
            <w:szCs w:val="18"/>
            <w:u w:val="single" w:color="auto"/>
            <w:color w:val="0000EE"/>
          </w:rPr>
          <w:t>Exhibit 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for the fiscal year ended December 31, 2023, filed with the SEC on </w:t>
      </w:r>
      <w:hyperlink r:id="rId151">
        <w:r>
          <w:rPr>
            <w:rFonts w:ascii="Times New Roman" w:cs="Times New Roman" w:eastAsia="Times New Roman" w:hAnsi="Times New Roman"/>
            <w:sz w:val="18"/>
            <w:szCs w:val="18"/>
            <w:u w:val="single" w:color="auto"/>
            <w:color w:val="0000EE"/>
          </w:rPr>
          <w:t>April 24, 2024</w:t>
        </w:r>
      </w:hyperlink>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that we file with the SEC and those of our Reports on Form 6-K that we furnish to the SEC that we specifically identify in such form or in an applicable prospectus supplement as being incorporated by reference into this prospectus or such prospectus supplement after the date hereof and prior to the completion of an offering of securities under this prospectus.</w:t>
      </w:r>
    </w:p>
    <w:p>
      <w:pPr>
        <w:spacing w:after="0" w:line="72" w:lineRule="exact"/>
        <w:rPr>
          <w:rFonts w:ascii="Times New Roman" w:cs="Times New Roman" w:eastAsia="Times New Roman" w:hAnsi="Times New Roman"/>
          <w:sz w:val="18"/>
          <w:szCs w:val="18"/>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or any beneficial owner, on written or oral request, a copy of any or all of the documents incorporated by reference in this prospectus, including exhibits to these documents. You should direct any requests for documents to:</w:t>
      </w:r>
    </w:p>
    <w:p>
      <w:pPr>
        <w:spacing w:after="0" w:line="122"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Nanobiotix Corporation</w:t>
      </w:r>
    </w:p>
    <w:p>
      <w:pPr>
        <w:spacing w:after="0" w:line="27" w:lineRule="exact"/>
        <w:rPr>
          <w:rFonts w:ascii="Times New Roman" w:cs="Times New Roman" w:eastAsia="Times New Roman" w:hAnsi="Times New Roman"/>
          <w:sz w:val="18"/>
          <w:szCs w:val="18"/>
          <w:color w:val="auto"/>
        </w:rPr>
      </w:pPr>
    </w:p>
    <w:p>
      <w:pPr>
        <w:ind w:left="4260" w:hanging="306"/>
        <w:spacing w:after="0"/>
        <w:tabs>
          <w:tab w:leader="none" w:pos="4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Broadway</w:t>
      </w:r>
    </w:p>
    <w:p>
      <w:pPr>
        <w:spacing w:after="0" w:line="9" w:lineRule="exact"/>
        <w:rPr>
          <w:rFonts w:ascii="Times New Roman" w:cs="Times New Roman" w:eastAsia="Times New Roman" w:hAnsi="Times New Roman"/>
          <w:sz w:val="18"/>
          <w:szCs w:val="18"/>
          <w:color w:val="auto"/>
        </w:rPr>
      </w:pPr>
    </w:p>
    <w:p>
      <w:pPr>
        <w:ind w:left="3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ind w:left="3720" w:right="3739" w:firstLine="57"/>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Attn: Laurent Levy Tel: +1 617 712 1568</w:t>
      </w:r>
    </w:p>
    <w:p>
      <w:pPr>
        <w:spacing w:after="0" w:line="49" w:lineRule="exact"/>
        <w:rPr>
          <w:rFonts w:ascii="Times New Roman" w:cs="Times New Roman" w:eastAsia="Times New Roman" w:hAnsi="Times New Roman"/>
          <w:sz w:val="18"/>
          <w:szCs w:val="18"/>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You also may access these filings on our website at www.nanobiotix.com.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75" w:lineRule="exact"/>
        <w:rPr>
          <w:rFonts w:ascii="Times New Roman" w:cs="Times New Roman" w:eastAsia="Times New Roman" w:hAnsi="Times New Roman"/>
          <w:sz w:val="18"/>
          <w:szCs w:val="18"/>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and any prospectus supplement will be deemed modified, superseded or replaced for purposes of this prospectus and any prospectus supplement to the extent that a statement contained in this prospectus or any prospectus supplement modifies, supersedes or replaces such statement.</w:t>
      </w:r>
    </w:p>
    <w:p>
      <w:pPr>
        <w:spacing w:after="0" w:line="72" w:lineRule="exact"/>
        <w:rPr>
          <w:rFonts w:ascii="Times New Roman" w:cs="Times New Roman" w:eastAsia="Times New Roman" w:hAnsi="Times New Roman"/>
          <w:sz w:val="18"/>
          <w:szCs w:val="18"/>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You should rely only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You should assume that the information appearing in this prospectus and any prospectus supplement is accurate only as of the date on the front cover of this prospectus, or such earlier date, that is indicated in this prospectus or any prospectus supplement. Our business, financial condition, results of operations and prospects may have changed since such date.</w:t>
      </w:r>
    </w:p>
    <w:p>
      <w:pPr>
        <w:spacing w:after="0" w:line="17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expenses to be incurred by us in connection with the offering of securities registered under this registration statement.</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33,505</w:t>
            </w: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33,330</w:t>
            </w: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$535,000</w:t>
            </w: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$235,000</w:t>
            </w: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$100,000</w:t>
            </w:r>
          </w:p>
        </w:tc>
      </w:tr>
      <w:tr>
        <w:trPr>
          <w:trHeight w:val="23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$961,835</w:t>
            </w:r>
          </w:p>
        </w:tc>
      </w:tr>
      <w:tr>
        <w:trPr>
          <w:trHeight w:val="54"/>
        </w:trPr>
        <w:tc>
          <w:tcPr>
            <w:tcW w:w="75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estimable at this time; such expenses shall be included in the prospectus supplement for the applicable offering.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1628140</wp:posOffset>
            </wp:positionV>
            <wp:extent cx="2597150" cy="6261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2597150" cy="62611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85,000,000</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2,184,662 Ordinary Shares</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(Including 225,373 Ordinary Shares</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In the Form of American Depositary Shares)</w:t>
      </w:r>
    </w:p>
    <w:p>
      <w:pPr>
        <w:jc w:val="center"/>
        <w:ind w:right="179"/>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jc w:val="center"/>
        <w:ind w:right="5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       </w:t>
      </w:r>
      <w:r>
        <w:rPr>
          <w:sz w:val="20"/>
          <w:szCs w:val="20"/>
          <w:color w:val="auto"/>
        </w:rPr>
        <w:tab/>
      </w:r>
      <w:r>
        <w:rPr>
          <w:rFonts w:ascii="Times New Roman" w:cs="Times New Roman" w:eastAsia="Times New Roman" w:hAnsi="Times New Roman"/>
          <w:sz w:val="21"/>
          <w:szCs w:val="21"/>
          <w:b w:val="1"/>
          <w:bCs w:val="1"/>
          <w:color w:val="auto"/>
        </w:rPr>
        <w:t>Pre-Funded Warrants to Purchase up to 345,099 Ordinary Shares</w:t>
      </w:r>
    </w:p>
    <w:p>
      <w:pPr>
        <w:spacing w:after="0" w:line="1"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       </w:t>
      </w:r>
      <w:r>
        <w:rPr>
          <w:sz w:val="20"/>
          <w:szCs w:val="20"/>
          <w:color w:val="auto"/>
        </w:rPr>
        <w:tab/>
      </w:r>
      <w:r>
        <w:rPr>
          <w:rFonts w:ascii="Times New Roman" w:cs="Times New Roman" w:eastAsia="Times New Roman" w:hAnsi="Times New Roman"/>
          <w:sz w:val="21"/>
          <w:szCs w:val="21"/>
          <w:b w:val="1"/>
          <w:bCs w:val="1"/>
          <w:color w:val="auto"/>
        </w:rPr>
        <w:t>Ordinary Shares Issuable Upon Exercise of all the 345,099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767080</wp:posOffset>
            </wp:positionV>
            <wp:extent cx="10972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182880</wp:posOffset>
            </wp:positionV>
            <wp:extent cx="10972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TD Cowen</w:t>
      </w:r>
    </w:p>
    <w:p>
      <w:pPr>
        <w:ind w:left="4260"/>
        <w:spacing w:after="0"/>
        <w:rPr>
          <w:sz w:val="20"/>
          <w:szCs w:val="20"/>
          <w:color w:val="auto"/>
        </w:rPr>
      </w:pPr>
      <w:r>
        <w:rPr>
          <w:rFonts w:ascii="Times New Roman" w:cs="Times New Roman" w:eastAsia="Times New Roman" w:hAnsi="Times New Roman"/>
          <w:sz w:val="22"/>
          <w:szCs w:val="22"/>
          <w:b w:val="1"/>
          <w:bCs w:val="1"/>
          <w:color w:val="auto"/>
        </w:rPr>
        <w:t>Stifel</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164465</wp:posOffset>
            </wp:positionV>
            <wp:extent cx="52120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224155</wp:posOffset>
            </wp:positionV>
            <wp:extent cx="5212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0" w:name="page111"/>
    <w:bookmarkEnd w:id="110"/>
    <w:p>
      <w:pPr>
        <w:ind w:left="10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 The maximum aggregate offering price of that offering is $99,903,070.97.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lowerLetter"/>
      <w:start w:val="3"/>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lowerRoman"/>
      <w:start w:val="2"/>
    </w:lvl>
    <w:lvl w:ilvl="1">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lvl w:ilvl="1">
      <w:lvlJc w:val="left"/>
      <w:lvlText w:val="(%2)"/>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lowerRoman"/>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lowerLetter"/>
      <w:start w:val="9"/>
    </w:lvl>
  </w:abstractNum>
  <w:abstractNum w:abstractNumId="54">
    <w:nsid w:val="741226BB"/>
    <w:multiLevelType w:val="hybridMultilevel"/>
    <w:lvl w:ilvl="0">
      <w:lvlJc w:val="left"/>
      <w:lvlText w:val="(%1)"/>
      <w:numFmt w:val="lowerRoman"/>
      <w:start w:val="2"/>
    </w:lvl>
  </w:abstractNum>
  <w:abstractNum w:abstractNumId="55">
    <w:nsid w:val="D34B6A8"/>
    <w:multiLevelType w:val="hybridMultilevel"/>
    <w:lvl w:ilvl="0">
      <w:lvlJc w:val="left"/>
      <w:lvlText w:val="(%1)"/>
      <w:numFmt w:val="lowerRoman"/>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upperLetter"/>
      <w:start w:val="6"/>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210"/>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jpe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jpe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jpe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74" Type="http://schemas.openxmlformats.org/officeDocument/2006/relationships/hyperlink" Target="https://www.sec.gov/ix?doc=/Archives/edgar/data/1760854/000176085426000003/nbx-20251231.htm" TargetMode="External"/><Relationship Id="rId75" Type="http://schemas.openxmlformats.org/officeDocument/2006/relationships/hyperlink" Target="https://www.sec.gov/Archives/edgar/data/1760854/000114036120027625/nt1009390x10_8a12b.htm" TargetMode="External"/><Relationship Id="rId76" Type="http://schemas.openxmlformats.org/officeDocument/2006/relationships/hyperlink" Target="https://www.sec.gov/Archives/edgar/data/1760854/000176085423000005/a2022xex23xnanobiotixx20xf.htm" TargetMode="External"/><Relationship Id="rId77" Type="http://schemas.openxmlformats.org/officeDocument/2006/relationships/hyperlink" Target="https://www.sec.gov/ix?doc=/Archives/edgar/data/1760854/000176085423000005/nbx-20221231.htm" TargetMode="External"/><Relationship Id="rId151" Type="http://schemas.openxmlformats.org/officeDocument/2006/relationships/hyperlink" Target="https://www.sec.gov/ix?doc=/Archives/edgar/data/0001760854/000176085424000004/nbx-20231231.htm" TargetMode="External"/><Relationship Id="rId152" Type="http://schemas.openxmlformats.org/officeDocument/2006/relationships/hyperlink" Target="https://www.sec.gov/Archives/edgar/data/1760854/000117184324005064/f6k_090424.htm" TargetMode="External"/><Relationship Id="rId153" Type="http://schemas.openxmlformats.org/officeDocument/2006/relationships/hyperlink" Target="https://www.sec.gov/ix?doc=/Archives/edgar/data/0001760854/000176085424000010/nbx-20240630.htm" TargetMode="External"/><Relationship Id="rId154" Type="http://schemas.openxmlformats.org/officeDocument/2006/relationships/hyperlink" Target="https://www.sec.gov/Archives/edgar/data/1760854/000117184324006193/f6k_111224.htm" TargetMode="External"/><Relationship Id="rId155" Type="http://schemas.openxmlformats.org/officeDocument/2006/relationships/hyperlink" Target="https://www.sec.gov/Archives/edgar/data/1760854/000117184324006825/f6k_120924.htm" TargetMode="External"/><Relationship Id="rId156" Type="http://schemas.openxmlformats.org/officeDocument/2006/relationships/hyperlink" Target="https://www.sec.gov/Archives/edgar/data/0001760854/000117184325000325/f6k_01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2026-05-22T15:29:36Z</dcterms:created>
  <dcterms:modified xsi:type="dcterms:W3CDTF">2026-05-22T15:29:36Z</dcterms:modified>
</cp:coreProperties>
</file>