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2025</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October 1, 2025,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October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11" w:right="5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 2025</w:t>
            </w:r>
          </w:p>
        </w:tc>
        <w:tc>
          <w:tcPr>
            <w:tcW w:w="3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680" w:type="dxa"/>
            <w:vAlign w:val="bottom"/>
          </w:tcPr>
          <w:p>
            <w:pPr>
              <w:spacing w:after="0"/>
              <w:rPr>
                <w:sz w:val="20"/>
                <w:szCs w:val="20"/>
                <w:color w:val="auto"/>
              </w:rPr>
            </w:pPr>
          </w:p>
        </w:tc>
        <w:tc>
          <w:tcPr>
            <w:tcW w:w="4760" w:type="dxa"/>
            <w:vAlign w:val="bottom"/>
            <w:gridSpan w:val="5"/>
          </w:tcPr>
          <w:p>
            <w:pPr>
              <w:jc w:val="center"/>
              <w:ind w:left="299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86"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5"/>
          <w:szCs w:val="25"/>
          <w:b w:val="1"/>
          <w:bCs w:val="1"/>
          <w:color w:val="auto"/>
        </w:rPr>
        <w:t>NANOBIOTIX Announces First Data From Phase 1 Study Evaluating JNJ-1900 (NBTXR3) for Patients With Esophageal Cancer</w:t>
      </w:r>
    </w:p>
    <w:p>
      <w:pPr>
        <w:spacing w:after="0" w:line="124" w:lineRule="exact"/>
        <w:rPr>
          <w:sz w:val="20"/>
          <w:szCs w:val="20"/>
          <w:color w:val="auto"/>
        </w:rPr>
      </w:pPr>
    </w:p>
    <w:p>
      <w:pPr>
        <w:ind w:left="540" w:right="20"/>
        <w:spacing w:after="0" w:line="241" w:lineRule="auto"/>
        <w:rPr>
          <w:sz w:val="20"/>
          <w:szCs w:val="20"/>
          <w:color w:val="auto"/>
        </w:rPr>
      </w:pPr>
      <w:r>
        <w:rPr>
          <w:rFonts w:ascii="Times New Roman" w:cs="Times New Roman" w:eastAsia="Times New Roman" w:hAnsi="Times New Roman"/>
          <w:sz w:val="22"/>
          <w:szCs w:val="22"/>
          <w:color w:val="auto"/>
        </w:rPr>
        <w:t>Treatment was well-tolerated and injection feasibility was confirmed in 13 patients with locally advanced adenocarcinoma of the esophagus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85% (11/13) disease control rate (DCR)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40"/>
        <w:spacing w:after="0" w:line="237" w:lineRule="auto"/>
        <w:rPr>
          <w:sz w:val="20"/>
          <w:szCs w:val="20"/>
          <w:color w:val="auto"/>
        </w:rPr>
      </w:pPr>
      <w:r>
        <w:rPr>
          <w:rFonts w:ascii="Times New Roman" w:cs="Times New Roman" w:eastAsia="Times New Roman" w:hAnsi="Times New Roman"/>
          <w:sz w:val="22"/>
          <w:szCs w:val="22"/>
          <w:color w:val="auto"/>
        </w:rPr>
        <w:t>69% (9/13) objective response rate (ORR); 6 complete responses and 3 partial responses Recruitment of 17 additional patients is ongoing as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Data presented at the 2025 Annual Meeting of the American Society for Radiation Oncology (ASTRO) on October 1</w:t>
      </w:r>
      <w:r>
        <w:rPr>
          <w:rFonts w:ascii="Times New Roman" w:cs="Times New Roman" w:eastAsia="Times New Roman" w:hAnsi="Times New Roman"/>
          <w:sz w:val="35"/>
          <w:szCs w:val="35"/>
          <w:i w:val="1"/>
          <w:iCs w:val="1"/>
          <w:color w:val="auto"/>
          <w:vertAlign w:val="superscript"/>
        </w:rPr>
        <w:t>st</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PARIS and CAMBRIDGE, Mass., Oct. 01, 2025 (GLOBE NEWSWIRE) -- NANOBIOTIX (Euronext: NANO –– NASDAQ: NBTX –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late-stage clinical biotechnology company pioneering physics-based approaches to expand treatment possibilities for patients with cancer and other major diseases, today announced first data from cohorts 1 and 2 of the dose escalation part of a Phase 1 dose escalation and dose expansion study evaluating JNJ-1900 (NBTXR3) combined with photon chemoradiation (cohort 1) or proton chemoradiation (cohort 2) followed by surgery, if medically indicated, for patients with locally advanced adenocarcinoma of the esophagus (“EADC”). The study is sponsored by The University of Texas MD Anderson Cancer Center (“MD Anderson”) and results were presented by Principal Investigator Steven Lin, MD, PhD, Professor of Radiation Oncology at MD Anderson at the 2025 Annual Meeting of the American Society for Radiation Oncology (ASTRO).</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ABSTRACT # 1113: ENDOSCOPIC ULTRASOUND FINE NEEDLE INJECTION OF NBTXR3 ACTIVATED BY RADIOTHERAPY WITH CONCURRENT CHEMOTHERAPY FOR ADENOCARCINOMA OF THE ESOPHAGUS: FEASIBILITY AND SAFETY OF THE PHASE 1 DOSE ESCALATION PART FOR THE PHOTON-BASED COHORT </w:t>
      </w:r>
      <w:r>
        <w:rPr>
          <w:rFonts w:ascii="Times New Roman" w:cs="Times New Roman" w:eastAsia="Times New Roman" w:hAnsi="Times New Roman"/>
          <w:sz w:val="22"/>
          <w:szCs w:val="22"/>
          <w:i w:val="1"/>
          <w:iCs w:val="1"/>
          <w:color w:val="auto"/>
        </w:rPr>
        <w:t>Steven H. Lin, Emmanuel Coronel, Saumil Gandhi, Julianna Bronk, David Qian, Joe Y. Chang, Michael O’Reilly, Matthew Ning, Aileen Chen, Quynh Nguyen, James Welsh, Diana Amaya, Christina Hoang, Wayne Hofstetter, Mariela Blum-Murphy, Albert C. Koong, Zhongxing Liao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MD Anderson Cancer Center, Houston, Texas, USA</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Esophageal cancer is the eighth most common cancer worldwide with an estimated 572,000 new cases and 508,600 deaths each year. Radiotherapy is a cornerstone of treatment and neoadjuvant chemoradiotherapy (“CRT”) followed by surgery is the standard of care. However, there is some controversy as to whether the toxicities of neoadjuvant CRT will lead to increased postoperative complications. Moreover, surgical removal of large segments of the esophagus (esophagectomy) is associated with significant comorbidities and negative impact on patients’ quality of life. Treatment strategies that enhance local control, reduce the need for surgery, and improve survival outcomes are an important unmet need.</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“Esophageal cancer remains one of the most difficult contexts for both patients and clinicians, where existing standards of care can create significant burdens for patients,” </w:t>
      </w:r>
      <w:r>
        <w:rPr>
          <w:rFonts w:ascii="Times New Roman" w:cs="Times New Roman" w:eastAsia="Times New Roman" w:hAnsi="Times New Roman"/>
          <w:sz w:val="22"/>
          <w:szCs w:val="22"/>
          <w:color w:val="auto"/>
        </w:rPr>
        <w:t>said Louis Kayitalire, Chief Medical Officer at Nanobiotix.</w:t>
      </w:r>
      <w:r>
        <w:rPr>
          <w:rFonts w:ascii="Times New Roman" w:cs="Times New Roman" w:eastAsia="Times New Roman" w:hAnsi="Times New Roman"/>
          <w:sz w:val="22"/>
          <w:szCs w:val="22"/>
          <w:i w:val="1"/>
          <w:iCs w:val="1"/>
          <w:color w:val="auto"/>
        </w:rPr>
        <w:t xml:space="preserve"> “We believe that JNJ-1900 (NBTXR3), through its broadly applicable mechanism of action, could offer a novel approach—one designed to enhance local control and potentially reduce the need for highly invasive procedures such as esophagectomy.”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 and Feasibility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Treatment was well-tolerated and feasible in the study population (n=13):</w:t>
      </w:r>
    </w:p>
    <w:p>
      <w:pPr>
        <w:spacing w:after="0" w:line="206"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t>Feasibility of endoscopic ultrasound-guided intratumoral injection was confirmed in 9 EADC patients with treated JNJ-1900 (NBTXR3) combined with photon CRT in cohort 1 and 4 EADC patients treated with JNJ-1900 (NBTXR3) combined with proton CRT in cohort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-412750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The recommended Phase 2 dose (“RP2D”) for JNJ-1900 (NBTXR3) combined with photon CRT was established at 33% of gross tumor volume (GTV)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color w:val="auto"/>
        </w:rPr>
        <w:t>In total, 13 patients experienced treatment-emergent adverse events (“TEAEs”) of any grade related to the overall treatment (Chemotherapy, RT, JNJ-1900 (NBTXR3), and injection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Of which, 6 patients experienced TEAEs of any grade (1, 2, or 3+) related to JNJ-1900 (NBTXR3) and 2 patient experienced TEAEs of any grade related to the injection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620"/>
        <w:spacing w:after="0" w:line="230" w:lineRule="auto"/>
        <w:rPr>
          <w:sz w:val="20"/>
          <w:szCs w:val="20"/>
          <w:color w:val="auto"/>
        </w:rPr>
      </w:pPr>
      <w:r>
        <w:rPr>
          <w:rFonts w:ascii="Times New Roman" w:cs="Times New Roman" w:eastAsia="Times New Roman" w:hAnsi="Times New Roman"/>
          <w:sz w:val="22"/>
          <w:szCs w:val="22"/>
          <w:color w:val="auto"/>
        </w:rPr>
        <w:t>Of these patients, 2 experienced grade 3+ TEAEs related to JNJ-1900 (NBTXR3) and 0 experienced grade 3+ TEAEs related to the injection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-245110</wp:posOffset>
            </wp:positionV>
            <wp:extent cx="4318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 periprocedural or delayed adverse events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Signals of Efficacy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Promising initial clinical response and outcomes: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85% (11/13) disease control rate (DCR)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color w:val="auto"/>
        </w:rPr>
        <w:t>69% (9/13) objective response rate (ORR), including 6 biopsy-confirmed complete responses (CRs) and 3 partial responses (PRs)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6 patients in the study were medically indicated for and underwent surgery after treatment with CRT and JNJ-1900 (NBTXR3)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2 of these patients had pathological complete response (pCR)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-110490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925" w:orient="portrait"/>
          <w:cols w:equalWidth="0" w:num="1">
            <w:col w:w="11240"/>
          </w:cols>
          <w:pgMar w:left="320" w:top="108" w:right="339" w:bottom="0" w:gutter="0" w:footer="0" w:header="0"/>
        </w:sectPr>
      </w:pPr>
    </w:p>
    <w:bookmarkStart w:id="4" w:name="page5"/>
    <w:bookmarkEnd w:id="4"/>
    <w:p>
      <w:pPr>
        <w:ind w:left="1080"/>
        <w:spacing w:after="0"/>
        <w:rPr>
          <w:sz w:val="20"/>
          <w:szCs w:val="20"/>
          <w:color w:val="auto"/>
        </w:rPr>
      </w:pPr>
      <w:r>
        <w:rPr>
          <w:rFonts w:ascii="Times New Roman" w:cs="Times New Roman" w:eastAsia="Times New Roman" w:hAnsi="Times New Roman"/>
          <w:sz w:val="22"/>
          <w:szCs w:val="22"/>
          <w:color w:val="auto"/>
        </w:rPr>
        <w:t>4 of these patients had major pathologic response (≤10% viable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-94615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“These early results support our hypothesis that intratumoral injection of JNJ-1900 (NBTXR3) in combination with chemoradiation is both technically feasible and generally well-tolerated in patients with locally advanced esophageal adenocarcinoma,” </w:t>
      </w:r>
      <w:r>
        <w:rPr>
          <w:rFonts w:ascii="Times New Roman" w:cs="Times New Roman" w:eastAsia="Times New Roman" w:hAnsi="Times New Roman"/>
          <w:sz w:val="22"/>
          <w:szCs w:val="22"/>
          <w:color w:val="auto"/>
        </w:rPr>
        <w:t>said Steven Lin, MD, PhD, Professor of Radiation Oncology at MD Anderson. “</w:t>
      </w:r>
      <w:r>
        <w:rPr>
          <w:rFonts w:ascii="Times New Roman" w:cs="Times New Roman" w:eastAsia="Times New Roman" w:hAnsi="Times New Roman"/>
          <w:sz w:val="22"/>
          <w:szCs w:val="22"/>
          <w:i w:val="1"/>
          <w:iCs w:val="1"/>
          <w:color w:val="auto"/>
        </w:rPr>
        <w:t>Importantly, we observed encouraging rates of disease control and complete response that suggest this novel approach could help improve local tumor control while potentially sparing patients from the risks and long-term consequences of esophagectomy. These early findings provide a strong foundation for further investigation.”</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Importantly, this evaluation in locally advanced esophageal cancer could potentially open a new indication for JNJ-1900 (NBTXR3) and provide support for the investigational radioenhancer in combination with proton radiation therapy as an additional activation modality beyond standard (photon) radiation therapy. Recruitment for dose escalation cohort 1 is complete. 5 additional patients are being recruited for dose escalation cohort 2, which will be followed by recruitment of 12 additional patients for the dose expansion part of the study.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JNJ-1900 (NBTXR3)</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JNJ-1900 (NBTXR3) is a novel, potentially first-in-class oncology product composed of functionalized hafnium oxide nanoparticles that is administered via one-time intratumoral injection and activated by radiotherapy. Its proof-of-concept was achieved in soft tissue sarcomas through a successful randomized Phase 2/3 study in 2018. The product candidate’s mechanism of action (MoA) is designed to induce significant tumor cell death in the injected tumor when activated by radiotherapy, subsequently triggering adaptive immune response and long-term anti-cancer memory. Given the physical MoA, Nanobiotix believes that JNJ-1900 (NBTXR3) could be scalable across any solid tumor that can be treated with radiotherapy and across any therapeutic combination, particularly immune checkpoint inhibitors.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Radiotherapy-activated JNJ-1900 (NBTXR3) is being evaluated across multiple solid tumor indications as a single agent or combination therapy. The program is led by NANORAY-312—a global, randomized Phase 3 study in locally advanced head and neck squamous cell cancers. In February 2020, the United States Food and Drug Administration granted regulatory Fast Track designation for the investigation of JNJ-1900 (NBTXR3) activated by radiation therapy, with or without cetuximab, for the treatment of patients with locally advanced HNSCC who are not eligible for platinum-based chemotherapy—the same population being evaluated in the Phase 3 study.</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1 and Phase 2 studies evaluating JNJ-1900 (NBTXR3) across tumor types and therapeutic combinations. In 2023, Nanobiotix announced a license agreement for the global co-development and commercialization of JNJ-1900 (NBTXR3) with Janssen Pharmaceutica NV, a Johnson &amp; Johnson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25 umbrella patents associated with three (3) nanotechnology platforms with applications in 1) oncology; 2) bioavailability and biodistribution; and 3) disorders of the central nervous system.</w:t>
      </w:r>
    </w:p>
    <w:p>
      <w:pPr>
        <w:spacing w:after="0" w:line="158" w:lineRule="exact"/>
        <w:rPr>
          <w:sz w:val="20"/>
          <w:szCs w:val="20"/>
          <w:color w:val="auto"/>
        </w:rPr>
      </w:pPr>
    </w:p>
    <w:p>
      <w:pPr>
        <w:ind w:right="1700"/>
        <w:spacing w:after="0" w:line="433" w:lineRule="auto"/>
        <w:rPr>
          <w:sz w:val="20"/>
          <w:szCs w:val="20"/>
          <w:color w:val="auto"/>
        </w:rPr>
      </w:pPr>
      <w:r>
        <w:rPr>
          <w:rFonts w:ascii="Times New Roman" w:cs="Times New Roman" w:eastAsia="Times New Roman" w:hAnsi="Times New Roman"/>
          <w:sz w:val="22"/>
          <w:szCs w:val="22"/>
          <w:color w:val="auto"/>
        </w:rPr>
        <w:t xml:space="preserve">For more information about Nanobiotix, visit us at www.nanobiotix.com or follow us on LinkedIn and Twitter </w:t>
      </w:r>
      <w:r>
        <w:rPr>
          <w:rFonts w:ascii="Times New Roman" w:cs="Times New Roman" w:eastAsia="Times New Roman" w:hAnsi="Times New Roman"/>
          <w:sz w:val="22"/>
          <w:szCs w:val="22"/>
          <w:b w:val="1"/>
          <w:bCs w:val="1"/>
          <w:color w:val="auto"/>
        </w:rPr>
        <w:t>Disclaimer</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April 2, 2025 under “Item 3.D. Risk Factors”, in Nanobiotix’s 2024 universal registration document filed with the AMF on April 2, 2025 under “chapter 1.5 Risk Factors”, and</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i w:val="1"/>
          <w:iCs w:val="1"/>
          <w:color w:val="auto"/>
        </w:rPr>
        <w:t xml:space="preserve">subsequent filings Nanobiotix makes with the SEC and AMF from time to time, including the Half-Year Report at June 30, 2025 which are available on the SEC’s website at </w:t>
      </w:r>
      <w:r>
        <w:rPr>
          <w:rFonts w:ascii="Times New Roman" w:cs="Times New Roman" w:eastAsia="Times New Roman" w:hAnsi="Times New Roman"/>
          <w:sz w:val="22"/>
          <w:szCs w:val="22"/>
          <w:color w:val="auto"/>
        </w:rPr>
        <w:t>www.sec.gov</w:t>
      </w:r>
      <w:r>
        <w:rPr>
          <w:rFonts w:ascii="Times New Roman" w:cs="Times New Roman" w:eastAsia="Times New Roman" w:hAnsi="Times New Roman"/>
          <w:sz w:val="22"/>
          <w:szCs w:val="22"/>
          <w:i w:val="1"/>
          <w:iCs w:val="1"/>
          <w:color w:val="auto"/>
        </w:rPr>
        <w:t xml:space="preserve">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Nanobiotix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400" w:type="dxa"/>
            <w:vAlign w:val="bottom"/>
            <w:gridSpan w:val="3"/>
          </w:tcPr>
          <w:p>
            <w:pPr>
              <w:ind w:left="180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7"/>
        </w:trPr>
        <w:tc>
          <w:tcPr>
            <w:tcW w:w="3840" w:type="dxa"/>
            <w:vAlign w:val="bottom"/>
            <w:gridSpan w:val="3"/>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400" w:type="dxa"/>
            <w:vAlign w:val="bottom"/>
            <w:gridSpan w:val="3"/>
          </w:tcPr>
          <w:p>
            <w:pPr>
              <w:ind w:left="1800"/>
              <w:spacing w:after="0" w:line="247"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118"/>
        </w:trPr>
        <w:tc>
          <w:tcPr>
            <w:tcW w:w="3840" w:type="dxa"/>
            <w:vAlign w:val="bottom"/>
            <w:gridSpan w:val="3"/>
            <w:vMerge w:val="continue"/>
          </w:tcPr>
          <w:p>
            <w:pPr>
              <w:spacing w:after="0"/>
              <w:rPr>
                <w:sz w:val="10"/>
                <w:szCs w:val="10"/>
                <w:color w:val="auto"/>
              </w:rPr>
            </w:pPr>
          </w:p>
        </w:tc>
        <w:tc>
          <w:tcPr>
            <w:tcW w:w="4120" w:type="dxa"/>
            <w:vAlign w:val="bottom"/>
            <w:gridSpan w:val="2"/>
            <w:vMerge w:val="restart"/>
          </w:tcPr>
          <w:p>
            <w:pPr>
              <w:ind w:left="1800"/>
              <w:spacing w:after="0" w:line="243" w:lineRule="exact"/>
              <w:rPr>
                <w:sz w:val="20"/>
                <w:szCs w:val="20"/>
                <w:color w:val="auto"/>
              </w:rPr>
            </w:pPr>
            <w:r>
              <w:rPr>
                <w:rFonts w:ascii="Times New Roman" w:cs="Times New Roman" w:eastAsia="Times New Roman" w:hAnsi="Times New Roman"/>
                <w:sz w:val="22"/>
                <w:szCs w:val="22"/>
                <w:color w:val="auto"/>
              </w:rPr>
              <w:t>+1 (713) 609-3150</w:t>
            </w: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40" w:type="dxa"/>
            <w:vAlign w:val="bottom"/>
            <w:gridSpan w:val="3"/>
            <w:vMerge w:val="restart"/>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4120" w:type="dxa"/>
            <w:vAlign w:val="bottom"/>
            <w:gridSpan w:val="2"/>
            <w:vMerge w:val="continue"/>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40" w:type="dxa"/>
            <w:vAlign w:val="bottom"/>
            <w:gridSpan w:val="3"/>
            <w:vMerge w:val="continue"/>
          </w:tcPr>
          <w:p>
            <w:pPr>
              <w:spacing w:after="0"/>
              <w:rPr>
                <w:sz w:val="10"/>
                <w:szCs w:val="10"/>
                <w:color w:val="auto"/>
              </w:rPr>
            </w:pPr>
          </w:p>
        </w:tc>
        <w:tc>
          <w:tcPr>
            <w:tcW w:w="7400" w:type="dxa"/>
            <w:vAlign w:val="bottom"/>
            <w:gridSpan w:val="3"/>
            <w:vMerge w:val="restart"/>
          </w:tcPr>
          <w:p>
            <w:pPr>
              <w:ind w:left="1800"/>
              <w:spacing w:after="0"/>
              <w:rPr>
                <w:sz w:val="20"/>
                <w:szCs w:val="20"/>
                <w:color w:val="auto"/>
              </w:rPr>
            </w:pPr>
            <w:r>
              <w:rPr>
                <w:rFonts w:ascii="Times New Roman" w:cs="Times New Roman" w:eastAsia="Times New Roman" w:hAnsi="Times New Roman"/>
                <w:sz w:val="22"/>
                <w:szCs w:val="22"/>
                <w:color w:val="auto"/>
              </w:rPr>
              <w:t>investors@nanobiotix.com</w:t>
            </w:r>
          </w:p>
        </w:tc>
        <w:tc>
          <w:tcPr>
            <w:tcW w:w="0" w:type="dxa"/>
            <w:vAlign w:val="bottom"/>
          </w:tcPr>
          <w:p>
            <w:pPr>
              <w:spacing w:after="0"/>
              <w:rPr>
                <w:sz w:val="1"/>
                <w:szCs w:val="1"/>
                <w:color w:val="auto"/>
              </w:rPr>
            </w:pPr>
          </w:p>
        </w:tc>
      </w:tr>
      <w:tr>
        <w:trPr>
          <w:trHeight w:val="165"/>
        </w:trPr>
        <w:tc>
          <w:tcPr>
            <w:tcW w:w="3840" w:type="dxa"/>
            <w:vAlign w:val="bottom"/>
            <w:gridSpan w:val="3"/>
            <w:vMerge w:val="restart"/>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4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40" w:type="dxa"/>
            <w:vAlign w:val="bottom"/>
            <w:gridSpan w:val="3"/>
            <w:vMerge w:val="continue"/>
          </w:tcPr>
          <w:p>
            <w:pPr>
              <w:spacing w:after="0"/>
              <w:rPr>
                <w:sz w:val="7"/>
                <w:szCs w:val="7"/>
                <w:color w:val="auto"/>
              </w:rPr>
            </w:pPr>
          </w:p>
        </w:tc>
        <w:tc>
          <w:tcPr>
            <w:tcW w:w="18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1640" w:type="dxa"/>
            <w:vAlign w:val="bottom"/>
          </w:tcPr>
          <w:p>
            <w:pPr>
              <w:spacing w:after="0"/>
              <w:rPr>
                <w:sz w:val="21"/>
                <w:szCs w:val="21"/>
                <w:color w:val="auto"/>
              </w:rPr>
            </w:pPr>
          </w:p>
        </w:tc>
        <w:tc>
          <w:tcPr>
            <w:tcW w:w="7400" w:type="dxa"/>
            <w:vAlign w:val="bottom"/>
            <w:gridSpan w:val="3"/>
            <w:vMerge w:val="restart"/>
          </w:tcPr>
          <w:p>
            <w:pPr>
              <w:ind w:left="180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118"/>
        </w:trPr>
        <w:tc>
          <w:tcPr>
            <w:tcW w:w="3840" w:type="dxa"/>
            <w:vAlign w:val="bottom"/>
            <w:gridSpan w:val="3"/>
            <w:vMerge w:val="restart"/>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7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840" w:type="dxa"/>
            <w:vAlign w:val="bottom"/>
            <w:gridSpan w:val="3"/>
            <w:vMerge w:val="continue"/>
          </w:tcPr>
          <w:p>
            <w:pPr>
              <w:spacing w:after="0"/>
              <w:rPr>
                <w:sz w:val="9"/>
                <w:szCs w:val="9"/>
                <w:color w:val="auto"/>
              </w:rPr>
            </w:pPr>
          </w:p>
        </w:tc>
        <w:tc>
          <w:tcPr>
            <w:tcW w:w="7400" w:type="dxa"/>
            <w:vAlign w:val="bottom"/>
            <w:gridSpan w:val="3"/>
            <w:vMerge w:val="restart"/>
          </w:tcPr>
          <w:p>
            <w:pPr>
              <w:ind w:left="1800"/>
              <w:spacing w:after="0" w:line="247" w:lineRule="exact"/>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180" w:type="dxa"/>
            <w:vAlign w:val="bottom"/>
            <w:tcBorders>
              <w:top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7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20" w:type="dxa"/>
            <w:vAlign w:val="bottom"/>
            <w:gridSpan w:val="2"/>
          </w:tcPr>
          <w:p>
            <w:pPr>
              <w:ind w:left="1800"/>
              <w:spacing w:after="0" w:line="243" w:lineRule="exact"/>
              <w:rPr>
                <w:sz w:val="20"/>
                <w:szCs w:val="20"/>
                <w:color w:val="auto"/>
              </w:rPr>
            </w:pPr>
            <w:r>
              <w:rPr>
                <w:rFonts w:ascii="Times New Roman" w:cs="Times New Roman" w:eastAsia="Times New Roman" w:hAnsi="Times New Roman"/>
                <w:sz w:val="22"/>
                <w:szCs w:val="22"/>
                <w:color w:val="auto"/>
              </w:rPr>
              <w:t>+33 (0) 79 97 29 99</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400" w:type="dxa"/>
            <w:vAlign w:val="bottom"/>
            <w:gridSpan w:val="3"/>
          </w:tcPr>
          <w:p>
            <w:pPr>
              <w:ind w:left="1800"/>
              <w:spacing w:after="0" w:line="230" w:lineRule="exact"/>
              <w:rPr>
                <w:sz w:val="20"/>
                <w:szCs w:val="20"/>
                <w:color w:val="auto"/>
              </w:rPr>
            </w:pPr>
            <w:r>
              <w:rPr>
                <w:rFonts w:ascii="Times New Roman" w:cs="Times New Roman" w:eastAsia="Times New Roman" w:hAnsi="Times New Roman"/>
                <w:sz w:val="22"/>
                <w:szCs w:val="22"/>
                <w:color w:val="auto"/>
              </w:rPr>
              <w:t>investors@nanobiotix.com</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74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22"/>
                <w:szCs w:val="22"/>
                <w:i w:val="1"/>
                <w:iCs w:val="1"/>
                <w:color w:val="auto"/>
              </w:rPr>
              <w:t>Media Relations</w:t>
            </w:r>
          </w:p>
        </w:tc>
        <w:tc>
          <w:tcPr>
            <w:tcW w:w="0" w:type="dxa"/>
            <w:vAlign w:val="bottom"/>
          </w:tcPr>
          <w:p>
            <w:pPr>
              <w:spacing w:after="0"/>
              <w:rPr>
                <w:sz w:val="1"/>
                <w:szCs w:val="1"/>
                <w:color w:val="auto"/>
              </w:rPr>
            </w:pPr>
          </w:p>
        </w:tc>
      </w:tr>
      <w:tr>
        <w:trPr>
          <w:trHeight w:val="466"/>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 Communications</w:t>
            </w:r>
          </w:p>
        </w:tc>
        <w:tc>
          <w:tcPr>
            <w:tcW w:w="0" w:type="dxa"/>
            <w:vAlign w:val="bottom"/>
          </w:tcPr>
          <w:p>
            <w:pPr>
              <w:spacing w:after="0"/>
              <w:rPr>
                <w:sz w:val="1"/>
                <w:szCs w:val="1"/>
                <w:color w:val="auto"/>
              </w:rPr>
            </w:pPr>
          </w:p>
        </w:tc>
      </w:tr>
      <w:tr>
        <w:trPr>
          <w:trHeight w:val="243"/>
        </w:trPr>
        <w:tc>
          <w:tcPr>
            <w:tcW w:w="3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400" w:type="dxa"/>
            <w:vAlign w:val="bottom"/>
            <w:gridSpan w:val="3"/>
          </w:tcPr>
          <w:p>
            <w:pPr>
              <w:ind w:left="180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+33 06 70 33 49 50</w:t>
            </w:r>
          </w:p>
        </w:tc>
        <w:tc>
          <w:tcPr>
            <w:tcW w:w="1640" w:type="dxa"/>
            <w:vAlign w:val="bottom"/>
          </w:tcPr>
          <w:p>
            <w:pPr>
              <w:spacing w:after="0"/>
              <w:rPr>
                <w:sz w:val="21"/>
                <w:szCs w:val="21"/>
                <w:color w:val="auto"/>
              </w:rPr>
            </w:pPr>
          </w:p>
        </w:tc>
        <w:tc>
          <w:tcPr>
            <w:tcW w:w="4120" w:type="dxa"/>
            <w:vAlign w:val="bottom"/>
            <w:gridSpan w:val="2"/>
          </w:tcPr>
          <w:p>
            <w:pPr>
              <w:ind w:left="180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carolinehardy@outlook.fr    </w:t>
            </w: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nanobiotixteam@uncappedcommunications.com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2025-10-01 -- NBTX -- Ph1 NBTXR3 Data in EADC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FINAL (https://ml.globenewswire.com/Resource/Download/5b2dba65-716f-42b0-91f4-b74fcfb77752)</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2025-10-01T15:22:11Z</dcterms:created>
  <dcterms:modified xsi:type="dcterms:W3CDTF">2025-10-01T15:22:11Z</dcterms:modified>
</cp:coreProperties>
</file>